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FE" w:rsidRDefault="00E764C2" w:rsidP="00541111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仿宋_GB2312"/>
          <w:sz w:val="36"/>
          <w:szCs w:val="30"/>
        </w:rPr>
      </w:pPr>
      <w:r>
        <w:rPr>
          <w:rFonts w:ascii="华文中宋" w:eastAsia="华文中宋" w:hAnsi="华文中宋" w:cs="仿宋_GB2312" w:hint="eastAsia"/>
          <w:sz w:val="36"/>
          <w:szCs w:val="30"/>
        </w:rPr>
        <w:t>从</w:t>
      </w:r>
      <w:r w:rsidRPr="00E764C2">
        <w:rPr>
          <w:rFonts w:ascii="华文中宋" w:eastAsia="华文中宋" w:hAnsi="华文中宋" w:cs="仿宋_GB2312" w:hint="eastAsia"/>
          <w:sz w:val="36"/>
          <w:szCs w:val="30"/>
        </w:rPr>
        <w:t>“三个</w:t>
      </w:r>
      <w:r w:rsidR="00E97384">
        <w:rPr>
          <w:rFonts w:ascii="华文中宋" w:eastAsia="华文中宋" w:hAnsi="华文中宋" w:cs="仿宋_GB2312"/>
          <w:sz w:val="36"/>
          <w:szCs w:val="30"/>
        </w:rPr>
        <w:t>40</w:t>
      </w:r>
      <w:r w:rsidRPr="00E764C2">
        <w:rPr>
          <w:rFonts w:ascii="华文中宋" w:eastAsia="华文中宋" w:hAnsi="华文中宋" w:cs="仿宋_GB2312"/>
          <w:sz w:val="36"/>
          <w:szCs w:val="30"/>
        </w:rPr>
        <w:t>%</w:t>
      </w:r>
      <w:r w:rsidR="00E97384">
        <w:rPr>
          <w:rFonts w:ascii="华文中宋" w:eastAsia="华文中宋" w:hAnsi="华文中宋" w:cs="仿宋_GB2312" w:hint="eastAsia"/>
          <w:sz w:val="36"/>
          <w:szCs w:val="30"/>
        </w:rPr>
        <w:t>以上</w:t>
      </w:r>
      <w:r w:rsidRPr="00E764C2">
        <w:rPr>
          <w:rFonts w:ascii="华文中宋" w:eastAsia="华文中宋" w:hAnsi="华文中宋" w:cs="仿宋_GB2312"/>
          <w:sz w:val="36"/>
          <w:szCs w:val="30"/>
        </w:rPr>
        <w:t>”</w:t>
      </w:r>
    </w:p>
    <w:p w:rsidR="00541111" w:rsidRDefault="00E764C2" w:rsidP="00541111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仿宋_GB2312"/>
          <w:sz w:val="36"/>
          <w:szCs w:val="30"/>
        </w:rPr>
      </w:pPr>
      <w:r>
        <w:rPr>
          <w:rFonts w:ascii="华文中宋" w:eastAsia="华文中宋" w:hAnsi="华文中宋" w:cs="仿宋_GB2312" w:hint="eastAsia"/>
          <w:sz w:val="36"/>
          <w:szCs w:val="30"/>
        </w:rPr>
        <w:t>看</w:t>
      </w:r>
      <w:r w:rsidR="002F54FE">
        <w:rPr>
          <w:rFonts w:ascii="华文中宋" w:eastAsia="华文中宋" w:hAnsi="华文中宋" w:cs="仿宋_GB2312" w:hint="eastAsia"/>
          <w:sz w:val="36"/>
          <w:szCs w:val="30"/>
        </w:rPr>
        <w:t>“十四五”</w:t>
      </w:r>
      <w:r>
        <w:rPr>
          <w:rFonts w:ascii="华文中宋" w:eastAsia="华文中宋" w:hAnsi="华文中宋" w:cs="仿宋_GB2312" w:hint="eastAsia"/>
          <w:sz w:val="36"/>
          <w:szCs w:val="30"/>
        </w:rPr>
        <w:t>我国</w:t>
      </w:r>
      <w:r w:rsidR="00326168">
        <w:rPr>
          <w:rFonts w:ascii="华文中宋" w:eastAsia="华文中宋" w:hAnsi="华文中宋" w:cs="仿宋_GB2312" w:hint="eastAsia"/>
          <w:sz w:val="36"/>
          <w:szCs w:val="30"/>
        </w:rPr>
        <w:t>持续</w:t>
      </w:r>
      <w:r w:rsidR="00A311F5" w:rsidRPr="00A311F5">
        <w:rPr>
          <w:rFonts w:ascii="华文中宋" w:eastAsia="华文中宋" w:hAnsi="华文中宋" w:cs="仿宋_GB2312" w:hint="eastAsia"/>
          <w:sz w:val="36"/>
          <w:szCs w:val="30"/>
        </w:rPr>
        <w:t>释放内需</w:t>
      </w:r>
      <w:r w:rsidR="004C2EED">
        <w:rPr>
          <w:rFonts w:ascii="华文中宋" w:eastAsia="华文中宋" w:hAnsi="华文中宋" w:cs="仿宋_GB2312" w:hint="eastAsia"/>
          <w:sz w:val="36"/>
          <w:szCs w:val="30"/>
        </w:rPr>
        <w:t>潜力</w:t>
      </w:r>
      <w:r w:rsidR="00A311F5" w:rsidRPr="00A311F5">
        <w:rPr>
          <w:rFonts w:ascii="华文中宋" w:eastAsia="华文中宋" w:hAnsi="华文中宋" w:cs="仿宋_GB2312" w:hint="eastAsia"/>
          <w:sz w:val="36"/>
          <w:szCs w:val="30"/>
        </w:rPr>
        <w:t>，</w:t>
      </w:r>
      <w:r w:rsidR="00BC72E3">
        <w:rPr>
          <w:rFonts w:ascii="华文中宋" w:eastAsia="华文中宋" w:hAnsi="华文中宋" w:cs="仿宋_GB2312" w:hint="eastAsia"/>
          <w:sz w:val="36"/>
          <w:szCs w:val="30"/>
        </w:rPr>
        <w:t>推动</w:t>
      </w:r>
      <w:r w:rsidR="00A311F5" w:rsidRPr="00A311F5">
        <w:rPr>
          <w:rFonts w:ascii="华文中宋" w:eastAsia="华文中宋" w:hAnsi="华文中宋" w:cs="仿宋_GB2312" w:hint="eastAsia"/>
          <w:sz w:val="36"/>
          <w:szCs w:val="30"/>
        </w:rPr>
        <w:t>区域协调发展</w:t>
      </w:r>
      <w:r w:rsidR="00677783">
        <w:rPr>
          <w:rFonts w:ascii="华文中宋" w:eastAsia="华文中宋" w:hAnsi="华文中宋" w:cs="仿宋_GB2312" w:hint="eastAsia"/>
          <w:sz w:val="36"/>
          <w:szCs w:val="30"/>
        </w:rPr>
        <w:t>的</w:t>
      </w:r>
      <w:r w:rsidR="004C2EED">
        <w:rPr>
          <w:rFonts w:ascii="华文中宋" w:eastAsia="华文中宋" w:hAnsi="华文中宋" w:cs="仿宋_GB2312" w:hint="eastAsia"/>
          <w:sz w:val="36"/>
          <w:szCs w:val="30"/>
        </w:rPr>
        <w:t>方向</w:t>
      </w:r>
    </w:p>
    <w:p w:rsidR="006868D4" w:rsidRDefault="00537722" w:rsidP="00C9166E">
      <w:pPr>
        <w:adjustRightInd w:val="0"/>
        <w:snapToGrid w:val="0"/>
        <w:spacing w:line="36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王继源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贾若祥 张燕</w:t>
      </w:r>
    </w:p>
    <w:p w:rsidR="00005268" w:rsidRPr="00C9166E" w:rsidRDefault="00005268" w:rsidP="00C9166E">
      <w:pPr>
        <w:adjustRightInd w:val="0"/>
        <w:snapToGrid w:val="0"/>
        <w:spacing w:line="360" w:lineRule="auto"/>
        <w:ind w:firstLineChars="200" w:firstLine="600"/>
        <w:jc w:val="center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p w:rsidR="00A311F5" w:rsidRDefault="00A311F5" w:rsidP="006B695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018</w:t>
      </w:r>
      <w:r>
        <w:rPr>
          <w:rFonts w:ascii="仿宋" w:eastAsia="仿宋" w:hAnsi="仿宋" w:hint="eastAsia"/>
          <w:sz w:val="30"/>
          <w:szCs w:val="30"/>
        </w:rPr>
        <w:t>年中央经济工作会议提出，</w:t>
      </w:r>
      <w:r w:rsidR="00997C4C">
        <w:rPr>
          <w:rFonts w:ascii="仿宋" w:eastAsia="仿宋" w:hAnsi="仿宋" w:hint="eastAsia"/>
          <w:sz w:val="30"/>
          <w:szCs w:val="30"/>
        </w:rPr>
        <w:t>“</w:t>
      </w:r>
      <w:r w:rsidRPr="00A311F5">
        <w:rPr>
          <w:rFonts w:ascii="仿宋" w:eastAsia="仿宋" w:hAnsi="仿宋" w:hint="eastAsia"/>
          <w:sz w:val="30"/>
          <w:szCs w:val="30"/>
        </w:rPr>
        <w:t>要持续释放内需潜力，推动区域协调发展</w:t>
      </w:r>
      <w:r w:rsidR="00997C4C">
        <w:rPr>
          <w:rFonts w:ascii="仿宋" w:eastAsia="仿宋" w:hAnsi="仿宋" w:hint="eastAsia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。</w:t>
      </w:r>
      <w:r w:rsidR="00625100" w:rsidRPr="00C9166E">
        <w:rPr>
          <w:rFonts w:ascii="仿宋" w:eastAsia="仿宋" w:hAnsi="仿宋"/>
          <w:sz w:val="30"/>
          <w:szCs w:val="30"/>
        </w:rPr>
        <w:t>释放内需潜力与</w:t>
      </w:r>
      <w:r w:rsidR="00625100">
        <w:rPr>
          <w:rFonts w:ascii="仿宋" w:eastAsia="仿宋" w:hAnsi="仿宋" w:hint="eastAsia"/>
          <w:sz w:val="30"/>
          <w:szCs w:val="30"/>
        </w:rPr>
        <w:t>促进</w:t>
      </w:r>
      <w:r w:rsidR="00625100" w:rsidRPr="00C9166E">
        <w:rPr>
          <w:rFonts w:ascii="仿宋" w:eastAsia="仿宋" w:hAnsi="仿宋"/>
          <w:sz w:val="30"/>
          <w:szCs w:val="30"/>
        </w:rPr>
        <w:t>区域协调发展具有高度相关性</w:t>
      </w:r>
      <w:r w:rsidR="00625100">
        <w:rPr>
          <w:rFonts w:ascii="仿宋" w:eastAsia="仿宋" w:hAnsi="仿宋" w:hint="eastAsia"/>
          <w:sz w:val="30"/>
          <w:szCs w:val="30"/>
        </w:rPr>
        <w:t>，</w:t>
      </w:r>
      <w:r w:rsidR="00473132">
        <w:rPr>
          <w:rFonts w:ascii="仿宋" w:eastAsia="仿宋" w:hAnsi="仿宋" w:hint="eastAsia"/>
          <w:sz w:val="30"/>
          <w:szCs w:val="30"/>
        </w:rPr>
        <w:t>我国</w:t>
      </w:r>
      <w:r w:rsidR="00E97384">
        <w:rPr>
          <w:rFonts w:ascii="仿宋" w:eastAsia="仿宋" w:hAnsi="仿宋" w:hint="eastAsia"/>
          <w:sz w:val="30"/>
          <w:szCs w:val="30"/>
        </w:rPr>
        <w:t>4</w:t>
      </w:r>
      <w:r w:rsidR="00E97384">
        <w:rPr>
          <w:rFonts w:ascii="仿宋" w:eastAsia="仿宋" w:hAnsi="仿宋"/>
          <w:sz w:val="30"/>
          <w:szCs w:val="30"/>
        </w:rPr>
        <w:t>0</w:t>
      </w:r>
      <w:r w:rsidR="00E97384">
        <w:rPr>
          <w:rFonts w:ascii="仿宋" w:eastAsia="仿宋" w:hAnsi="仿宋" w:hint="eastAsia"/>
          <w:sz w:val="30"/>
          <w:szCs w:val="30"/>
        </w:rPr>
        <w:t>%以上的</w:t>
      </w:r>
      <w:r w:rsidR="00473132" w:rsidRPr="00473132">
        <w:rPr>
          <w:rFonts w:ascii="仿宋" w:eastAsia="仿宋" w:hAnsi="仿宋" w:hint="eastAsia"/>
          <w:sz w:val="30"/>
          <w:szCs w:val="30"/>
        </w:rPr>
        <w:t>国内总需求</w:t>
      </w:r>
      <w:r w:rsidR="00E97384">
        <w:rPr>
          <w:rFonts w:ascii="仿宋" w:eastAsia="仿宋" w:hAnsi="仿宋" w:hint="eastAsia"/>
          <w:sz w:val="30"/>
          <w:szCs w:val="30"/>
        </w:rPr>
        <w:t>在城镇化率低于全国的1</w:t>
      </w:r>
      <w:r w:rsidR="00E97384">
        <w:rPr>
          <w:rFonts w:ascii="仿宋" w:eastAsia="仿宋" w:hAnsi="仿宋"/>
          <w:sz w:val="30"/>
          <w:szCs w:val="30"/>
        </w:rPr>
        <w:t>8</w:t>
      </w:r>
      <w:r w:rsidR="00E97384">
        <w:rPr>
          <w:rFonts w:ascii="仿宋" w:eastAsia="仿宋" w:hAnsi="仿宋" w:hint="eastAsia"/>
          <w:sz w:val="30"/>
          <w:szCs w:val="30"/>
        </w:rPr>
        <w:t>个省份，4</w:t>
      </w:r>
      <w:r w:rsidR="00E97384">
        <w:rPr>
          <w:rFonts w:ascii="仿宋" w:eastAsia="仿宋" w:hAnsi="仿宋"/>
          <w:sz w:val="30"/>
          <w:szCs w:val="30"/>
        </w:rPr>
        <w:t>0</w:t>
      </w:r>
      <w:r w:rsidR="00E97384">
        <w:rPr>
          <w:rFonts w:ascii="仿宋" w:eastAsia="仿宋" w:hAnsi="仿宋" w:hint="eastAsia"/>
          <w:sz w:val="30"/>
          <w:szCs w:val="30"/>
        </w:rPr>
        <w:t>%以上的</w:t>
      </w:r>
      <w:r w:rsidR="00473132" w:rsidRPr="00473132">
        <w:rPr>
          <w:rFonts w:ascii="仿宋" w:eastAsia="仿宋" w:hAnsi="仿宋" w:hint="eastAsia"/>
          <w:sz w:val="30"/>
          <w:szCs w:val="30"/>
        </w:rPr>
        <w:t>投资需求</w:t>
      </w:r>
      <w:r w:rsidR="00E97384">
        <w:rPr>
          <w:rFonts w:ascii="仿宋" w:eastAsia="仿宋" w:hAnsi="仿宋" w:hint="eastAsia"/>
          <w:sz w:val="30"/>
          <w:szCs w:val="30"/>
        </w:rPr>
        <w:t>在中西部地区，4</w:t>
      </w:r>
      <w:r w:rsidR="00E97384">
        <w:rPr>
          <w:rFonts w:ascii="仿宋" w:eastAsia="仿宋" w:hAnsi="仿宋"/>
          <w:sz w:val="30"/>
          <w:szCs w:val="30"/>
        </w:rPr>
        <w:t>0</w:t>
      </w:r>
      <w:r w:rsidR="00E97384">
        <w:rPr>
          <w:rFonts w:ascii="仿宋" w:eastAsia="仿宋" w:hAnsi="仿宋" w:hint="eastAsia"/>
          <w:sz w:val="30"/>
          <w:szCs w:val="30"/>
        </w:rPr>
        <w:t>%以上的</w:t>
      </w:r>
      <w:r w:rsidR="00473132" w:rsidRPr="00473132">
        <w:rPr>
          <w:rFonts w:ascii="仿宋" w:eastAsia="仿宋" w:hAnsi="仿宋" w:hint="eastAsia"/>
          <w:sz w:val="30"/>
          <w:szCs w:val="30"/>
        </w:rPr>
        <w:t>消费需求的</w:t>
      </w:r>
      <w:r w:rsidR="00473132" w:rsidRPr="00473132">
        <w:rPr>
          <w:rFonts w:ascii="仿宋" w:eastAsia="仿宋" w:hAnsi="仿宋"/>
          <w:sz w:val="30"/>
          <w:szCs w:val="30"/>
        </w:rPr>
        <w:t>在京津冀、粤港澳</w:t>
      </w:r>
      <w:r w:rsidR="003D6DF9">
        <w:rPr>
          <w:rFonts w:ascii="仿宋" w:eastAsia="仿宋" w:hAnsi="仿宋" w:hint="eastAsia"/>
          <w:sz w:val="30"/>
          <w:szCs w:val="30"/>
        </w:rPr>
        <w:t>大湾区</w:t>
      </w:r>
      <w:r w:rsidR="00473132" w:rsidRPr="00473132">
        <w:rPr>
          <w:rFonts w:ascii="仿宋" w:eastAsia="仿宋" w:hAnsi="仿宋"/>
          <w:sz w:val="30"/>
          <w:szCs w:val="30"/>
        </w:rPr>
        <w:t>、长三角</w:t>
      </w:r>
      <w:r w:rsidR="003D6DF9">
        <w:rPr>
          <w:rFonts w:ascii="仿宋" w:eastAsia="仿宋" w:hAnsi="仿宋" w:hint="eastAsia"/>
          <w:sz w:val="30"/>
          <w:szCs w:val="30"/>
        </w:rPr>
        <w:t>区域</w:t>
      </w:r>
      <w:r w:rsidR="00473132">
        <w:rPr>
          <w:rFonts w:ascii="仿宋" w:eastAsia="仿宋" w:hAnsi="仿宋" w:hint="eastAsia"/>
          <w:sz w:val="30"/>
          <w:szCs w:val="30"/>
        </w:rPr>
        <w:t>。</w:t>
      </w:r>
      <w:r w:rsidR="00473132" w:rsidRPr="00473132">
        <w:rPr>
          <w:rFonts w:ascii="仿宋" w:eastAsia="仿宋" w:hAnsi="仿宋"/>
          <w:sz w:val="30"/>
          <w:szCs w:val="30"/>
        </w:rPr>
        <w:t>“十四五”</w:t>
      </w:r>
      <w:r w:rsidR="00537370">
        <w:rPr>
          <w:rFonts w:ascii="仿宋" w:eastAsia="仿宋" w:hAnsi="仿宋" w:hint="eastAsia"/>
          <w:sz w:val="30"/>
          <w:szCs w:val="30"/>
        </w:rPr>
        <w:t>时期</w:t>
      </w:r>
      <w:r w:rsidR="00473132">
        <w:rPr>
          <w:rFonts w:ascii="仿宋" w:eastAsia="仿宋" w:hAnsi="仿宋" w:hint="eastAsia"/>
          <w:sz w:val="30"/>
          <w:szCs w:val="30"/>
        </w:rPr>
        <w:t>，</w:t>
      </w:r>
      <w:r w:rsidR="00121A99">
        <w:rPr>
          <w:rFonts w:ascii="仿宋" w:eastAsia="仿宋" w:hAnsi="仿宋"/>
          <w:sz w:val="30"/>
          <w:szCs w:val="30"/>
        </w:rPr>
        <w:t>释放内需潜力需要关注</w:t>
      </w:r>
      <w:r w:rsidR="00F033F0" w:rsidRPr="00F033F0">
        <w:rPr>
          <w:rFonts w:ascii="仿宋" w:eastAsia="仿宋" w:hAnsi="仿宋"/>
          <w:sz w:val="30"/>
          <w:szCs w:val="30"/>
        </w:rPr>
        <w:t>区域</w:t>
      </w:r>
      <w:r w:rsidR="00121A99">
        <w:rPr>
          <w:rFonts w:ascii="仿宋" w:eastAsia="仿宋" w:hAnsi="仿宋" w:hint="eastAsia"/>
          <w:sz w:val="30"/>
          <w:szCs w:val="30"/>
        </w:rPr>
        <w:t>不平衡不充分</w:t>
      </w:r>
      <w:r w:rsidR="0001001E">
        <w:rPr>
          <w:rFonts w:ascii="仿宋" w:eastAsia="仿宋" w:hAnsi="仿宋" w:hint="eastAsia"/>
          <w:sz w:val="30"/>
          <w:szCs w:val="30"/>
        </w:rPr>
        <w:t>可能</w:t>
      </w:r>
      <w:r w:rsidR="00121A99">
        <w:rPr>
          <w:rFonts w:ascii="仿宋" w:eastAsia="仿宋" w:hAnsi="仿宋" w:hint="eastAsia"/>
          <w:sz w:val="30"/>
          <w:szCs w:val="30"/>
        </w:rPr>
        <w:t>出现的</w:t>
      </w:r>
      <w:r w:rsidR="00F033F0" w:rsidRPr="00F033F0">
        <w:rPr>
          <w:rFonts w:ascii="仿宋" w:eastAsia="仿宋" w:hAnsi="仿宋"/>
          <w:sz w:val="30"/>
          <w:szCs w:val="30"/>
        </w:rPr>
        <w:t>新问题新挑战</w:t>
      </w:r>
      <w:r w:rsidR="00F033F0">
        <w:rPr>
          <w:rFonts w:ascii="仿宋" w:eastAsia="仿宋" w:hAnsi="仿宋" w:hint="eastAsia"/>
          <w:sz w:val="30"/>
          <w:szCs w:val="30"/>
        </w:rPr>
        <w:t>，</w:t>
      </w:r>
      <w:r w:rsidR="00D505B4" w:rsidRPr="00D505B4">
        <w:rPr>
          <w:rFonts w:ascii="仿宋" w:eastAsia="仿宋" w:hAnsi="仿宋"/>
          <w:sz w:val="30"/>
          <w:szCs w:val="30"/>
        </w:rPr>
        <w:t>以城市精明增长促进内需持续释放</w:t>
      </w:r>
      <w:r w:rsidR="00D505B4">
        <w:rPr>
          <w:rFonts w:ascii="仿宋" w:eastAsia="仿宋" w:hAnsi="仿宋" w:hint="eastAsia"/>
          <w:sz w:val="30"/>
          <w:szCs w:val="30"/>
        </w:rPr>
        <w:t>，</w:t>
      </w:r>
      <w:r w:rsidR="00D505B4" w:rsidRPr="00D505B4">
        <w:rPr>
          <w:rFonts w:ascii="仿宋" w:eastAsia="仿宋" w:hAnsi="仿宋"/>
          <w:sz w:val="30"/>
          <w:szCs w:val="30"/>
        </w:rPr>
        <w:t>以重大基础设施投资提升中西部通达能力</w:t>
      </w:r>
      <w:r w:rsidR="00D505B4">
        <w:rPr>
          <w:rFonts w:ascii="仿宋" w:eastAsia="仿宋" w:hAnsi="仿宋" w:hint="eastAsia"/>
          <w:sz w:val="30"/>
          <w:szCs w:val="30"/>
        </w:rPr>
        <w:t>，</w:t>
      </w:r>
      <w:r w:rsidR="00D505B4" w:rsidRPr="00D505B4">
        <w:rPr>
          <w:rFonts w:ascii="仿宋" w:eastAsia="仿宋" w:hAnsi="仿宋"/>
          <w:sz w:val="30"/>
          <w:szCs w:val="30"/>
        </w:rPr>
        <w:t>以消费结构升级引领东部沿海产业结构升级</w:t>
      </w:r>
      <w:r w:rsidR="00F0737C">
        <w:rPr>
          <w:rFonts w:ascii="仿宋" w:eastAsia="仿宋" w:hAnsi="仿宋" w:hint="eastAsia"/>
          <w:sz w:val="30"/>
          <w:szCs w:val="30"/>
        </w:rPr>
        <w:t>。</w:t>
      </w:r>
    </w:p>
    <w:p w:rsidR="00CC5F41" w:rsidRDefault="00321474" w:rsidP="00CC5F41">
      <w:pPr>
        <w:pStyle w:val="2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释放内需潜力与</w:t>
      </w:r>
      <w:r w:rsidR="00AC75BA">
        <w:rPr>
          <w:rFonts w:ascii="黑体" w:eastAsia="黑体" w:hAnsi="黑体" w:hint="eastAsia"/>
          <w:b w:val="0"/>
        </w:rPr>
        <w:t>促进</w:t>
      </w:r>
      <w:r w:rsidR="00671ED5">
        <w:rPr>
          <w:rFonts w:ascii="黑体" w:eastAsia="黑体" w:hAnsi="黑体" w:hint="eastAsia"/>
          <w:b w:val="0"/>
        </w:rPr>
        <w:t>区域协调发展具有高度相关性</w:t>
      </w:r>
    </w:p>
    <w:p w:rsidR="0079250A" w:rsidRDefault="0079250A" w:rsidP="0079250A">
      <w:pPr>
        <w:pStyle w:val="2"/>
        <w:numPr>
          <w:ilvl w:val="0"/>
          <w:numId w:val="2"/>
        </w:numPr>
        <w:spacing w:before="0" w:after="0" w:line="360" w:lineRule="auto"/>
        <w:ind w:firstLineChars="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我国4</w:t>
      </w:r>
      <w:r>
        <w:rPr>
          <w:rFonts w:ascii="楷体_GB2312" w:eastAsia="楷体_GB2312" w:hAnsi="楷体"/>
          <w:sz w:val="30"/>
          <w:szCs w:val="30"/>
        </w:rPr>
        <w:t>0</w:t>
      </w:r>
      <w:r>
        <w:rPr>
          <w:rFonts w:ascii="楷体_GB2312" w:eastAsia="楷体_GB2312" w:hAnsi="楷体" w:hint="eastAsia"/>
          <w:sz w:val="30"/>
          <w:szCs w:val="30"/>
        </w:rPr>
        <w:t>%以上的</w:t>
      </w:r>
      <w:r w:rsidR="004E039D">
        <w:rPr>
          <w:rFonts w:ascii="楷体_GB2312" w:eastAsia="楷体_GB2312" w:hAnsi="楷体" w:hint="eastAsia"/>
          <w:sz w:val="30"/>
          <w:szCs w:val="30"/>
        </w:rPr>
        <w:t>内需</w:t>
      </w:r>
      <w:r>
        <w:rPr>
          <w:rFonts w:ascii="楷体_GB2312" w:eastAsia="楷体_GB2312" w:hAnsi="楷体" w:hint="eastAsia"/>
          <w:sz w:val="30"/>
          <w:szCs w:val="30"/>
        </w:rPr>
        <w:t>在城镇化率低于全国的</w:t>
      </w:r>
      <w:r w:rsidR="008A2479">
        <w:rPr>
          <w:rFonts w:ascii="楷体_GB2312" w:eastAsia="楷体_GB2312" w:hAnsi="楷体" w:hint="eastAsia"/>
          <w:sz w:val="30"/>
          <w:szCs w:val="30"/>
        </w:rPr>
        <w:t>1</w:t>
      </w:r>
      <w:r w:rsidR="008A2479">
        <w:rPr>
          <w:rFonts w:ascii="楷体_GB2312" w:eastAsia="楷体_GB2312" w:hAnsi="楷体"/>
          <w:sz w:val="30"/>
          <w:szCs w:val="30"/>
        </w:rPr>
        <w:t>8</w:t>
      </w:r>
      <w:r w:rsidR="008A2479">
        <w:rPr>
          <w:rFonts w:ascii="楷体_GB2312" w:eastAsia="楷体_GB2312" w:hAnsi="楷体" w:hint="eastAsia"/>
          <w:sz w:val="30"/>
          <w:szCs w:val="30"/>
        </w:rPr>
        <w:t>个</w:t>
      </w:r>
      <w:r>
        <w:rPr>
          <w:rFonts w:ascii="楷体_GB2312" w:eastAsia="楷体_GB2312" w:hAnsi="楷体" w:hint="eastAsia"/>
          <w:sz w:val="30"/>
          <w:szCs w:val="30"/>
        </w:rPr>
        <w:t>省份，提升空间巨大</w:t>
      </w:r>
    </w:p>
    <w:p w:rsidR="0079250A" w:rsidRPr="00F53929" w:rsidRDefault="0079250A" w:rsidP="005C116C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7656B">
        <w:rPr>
          <w:rFonts w:ascii="仿宋" w:eastAsia="仿宋" w:hAnsi="仿宋" w:hint="eastAsia"/>
          <w:sz w:val="30"/>
          <w:szCs w:val="30"/>
        </w:rPr>
        <w:t>城镇化是</w:t>
      </w:r>
      <w:r>
        <w:rPr>
          <w:rFonts w:ascii="仿宋" w:eastAsia="仿宋" w:hAnsi="仿宋" w:hint="eastAsia"/>
          <w:sz w:val="30"/>
          <w:szCs w:val="30"/>
        </w:rPr>
        <w:t>促进</w:t>
      </w:r>
      <w:r w:rsidRPr="0097656B">
        <w:rPr>
          <w:rFonts w:ascii="仿宋" w:eastAsia="仿宋" w:hAnsi="仿宋" w:hint="eastAsia"/>
          <w:sz w:val="30"/>
          <w:szCs w:val="30"/>
        </w:rPr>
        <w:t>区域协调发展的</w:t>
      </w:r>
      <w:r w:rsidR="00DE1548">
        <w:rPr>
          <w:rFonts w:ascii="仿宋" w:eastAsia="仿宋" w:hAnsi="仿宋" w:hint="eastAsia"/>
          <w:sz w:val="30"/>
          <w:szCs w:val="30"/>
        </w:rPr>
        <w:t>助推器</w:t>
      </w:r>
      <w:r>
        <w:rPr>
          <w:rFonts w:ascii="仿宋" w:eastAsia="仿宋" w:hAnsi="仿宋" w:hint="eastAsia"/>
          <w:sz w:val="30"/>
          <w:szCs w:val="30"/>
        </w:rPr>
        <w:t>，也是</w:t>
      </w:r>
      <w:r w:rsidR="002266C9">
        <w:rPr>
          <w:rFonts w:ascii="仿宋" w:eastAsia="仿宋" w:hAnsi="仿宋" w:hint="eastAsia"/>
          <w:sz w:val="30"/>
          <w:szCs w:val="30"/>
        </w:rPr>
        <w:t>释放</w:t>
      </w:r>
      <w:r w:rsidR="00BB2AA9">
        <w:rPr>
          <w:rFonts w:ascii="仿宋" w:eastAsia="仿宋" w:hAnsi="仿宋" w:hint="eastAsia"/>
          <w:sz w:val="30"/>
          <w:szCs w:val="30"/>
        </w:rPr>
        <w:t>内需</w:t>
      </w:r>
      <w:r w:rsidR="002266C9">
        <w:rPr>
          <w:rFonts w:ascii="仿宋" w:eastAsia="仿宋" w:hAnsi="仿宋" w:hint="eastAsia"/>
          <w:sz w:val="30"/>
          <w:szCs w:val="30"/>
        </w:rPr>
        <w:t>潜力</w:t>
      </w:r>
      <w:r>
        <w:rPr>
          <w:rFonts w:ascii="仿宋" w:eastAsia="仿宋" w:hAnsi="仿宋" w:hint="eastAsia"/>
          <w:sz w:val="30"/>
          <w:szCs w:val="30"/>
        </w:rPr>
        <w:t>的重要途径。</w:t>
      </w:r>
      <w:r w:rsidR="00824DE0" w:rsidRPr="00824DE0">
        <w:rPr>
          <w:rFonts w:ascii="仿宋" w:eastAsia="仿宋" w:hAnsi="仿宋" w:hint="eastAsia"/>
          <w:sz w:val="30"/>
          <w:szCs w:val="30"/>
        </w:rPr>
        <w:t>我国投资的</w:t>
      </w:r>
      <w:r w:rsidR="00824DE0" w:rsidRPr="00824DE0">
        <w:rPr>
          <w:rFonts w:ascii="仿宋" w:eastAsia="仿宋" w:hAnsi="仿宋"/>
          <w:sz w:val="30"/>
          <w:szCs w:val="30"/>
        </w:rPr>
        <w:t>98%在城镇，2%在农村，城镇人均投资是农村的47倍，城镇居民消费水平是农村的2.7倍，城镇是吸纳投资和扩大消费的最重要空间载体。</w:t>
      </w:r>
      <w:r w:rsidRPr="0085511A">
        <w:rPr>
          <w:rFonts w:ascii="仿宋" w:eastAsia="仿宋" w:hAnsi="仿宋" w:hint="eastAsia"/>
          <w:sz w:val="30"/>
          <w:szCs w:val="30"/>
        </w:rPr>
        <w:t>2</w:t>
      </w:r>
      <w:r w:rsidRPr="0085511A">
        <w:rPr>
          <w:rFonts w:ascii="仿宋" w:eastAsia="仿宋" w:hAnsi="仿宋"/>
          <w:sz w:val="30"/>
          <w:szCs w:val="30"/>
        </w:rPr>
        <w:t>018</w:t>
      </w:r>
      <w:r w:rsidRPr="0085511A">
        <w:rPr>
          <w:rFonts w:ascii="仿宋" w:eastAsia="仿宋" w:hAnsi="仿宋" w:hint="eastAsia"/>
          <w:sz w:val="30"/>
          <w:szCs w:val="30"/>
        </w:rPr>
        <w:t>年，我国</w:t>
      </w:r>
      <w:r w:rsidR="00094155">
        <w:rPr>
          <w:rFonts w:ascii="仿宋" w:eastAsia="仿宋" w:hAnsi="仿宋" w:hint="eastAsia"/>
          <w:sz w:val="30"/>
          <w:szCs w:val="30"/>
        </w:rPr>
        <w:t>城镇化率接近6</w:t>
      </w:r>
      <w:r w:rsidR="00094155">
        <w:rPr>
          <w:rFonts w:ascii="仿宋" w:eastAsia="仿宋" w:hAnsi="仿宋"/>
          <w:sz w:val="30"/>
          <w:szCs w:val="30"/>
        </w:rPr>
        <w:t>0</w:t>
      </w:r>
      <w:r w:rsidR="00094155">
        <w:rPr>
          <w:rFonts w:ascii="仿宋" w:eastAsia="仿宋" w:hAnsi="仿宋" w:hint="eastAsia"/>
          <w:sz w:val="30"/>
          <w:szCs w:val="30"/>
        </w:rPr>
        <w:t>%</w:t>
      </w:r>
      <w:r w:rsidR="00F36BAA">
        <w:rPr>
          <w:rFonts w:ascii="仿宋" w:eastAsia="仿宋" w:hAnsi="仿宋" w:hint="eastAsia"/>
          <w:sz w:val="30"/>
          <w:szCs w:val="30"/>
        </w:rPr>
        <w:t>，</w:t>
      </w:r>
      <w:r w:rsidR="00094155">
        <w:rPr>
          <w:rFonts w:ascii="仿宋" w:eastAsia="仿宋" w:hAnsi="仿宋" w:hint="eastAsia"/>
          <w:sz w:val="30"/>
          <w:szCs w:val="30"/>
        </w:rPr>
        <w:t>但仍</w:t>
      </w:r>
      <w:r w:rsidR="003A59FB">
        <w:rPr>
          <w:rFonts w:ascii="仿宋" w:eastAsia="仿宋" w:hAnsi="仿宋" w:hint="eastAsia"/>
          <w:sz w:val="30"/>
          <w:szCs w:val="30"/>
        </w:rPr>
        <w:t>有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个省份低于全国水平</w:t>
      </w:r>
      <w:r w:rsidR="00244022">
        <w:rPr>
          <w:rFonts w:ascii="仿宋" w:eastAsia="仿宋" w:hAnsi="仿宋" w:hint="eastAsia"/>
          <w:sz w:val="30"/>
          <w:szCs w:val="30"/>
        </w:rPr>
        <w:t>。这1</w:t>
      </w:r>
      <w:r w:rsidR="00244022">
        <w:rPr>
          <w:rFonts w:ascii="仿宋" w:eastAsia="仿宋" w:hAnsi="仿宋"/>
          <w:sz w:val="30"/>
          <w:szCs w:val="30"/>
        </w:rPr>
        <w:t>8</w:t>
      </w:r>
      <w:r w:rsidR="00244022">
        <w:rPr>
          <w:rFonts w:ascii="仿宋" w:eastAsia="仿宋" w:hAnsi="仿宋" w:hint="eastAsia"/>
          <w:sz w:val="30"/>
          <w:szCs w:val="30"/>
        </w:rPr>
        <w:t>个省份包括了河南</w:t>
      </w:r>
      <w:r w:rsidR="002F1C58">
        <w:rPr>
          <w:rFonts w:ascii="仿宋" w:eastAsia="仿宋" w:hAnsi="仿宋" w:hint="eastAsia"/>
          <w:sz w:val="30"/>
          <w:szCs w:val="30"/>
        </w:rPr>
        <w:t>、</w:t>
      </w:r>
      <w:r w:rsidR="00244022">
        <w:rPr>
          <w:rFonts w:ascii="仿宋" w:eastAsia="仿宋" w:hAnsi="仿宋" w:hint="eastAsia"/>
          <w:sz w:val="30"/>
          <w:szCs w:val="30"/>
        </w:rPr>
        <w:lastRenderedPageBreak/>
        <w:t>河北等农业大省和人口大省</w:t>
      </w:r>
      <w:r w:rsidR="00244022" w:rsidRPr="00244022">
        <w:rPr>
          <w:rFonts w:ascii="仿宋" w:eastAsia="仿宋" w:hAnsi="仿宋" w:hint="eastAsia"/>
          <w:sz w:val="30"/>
          <w:szCs w:val="30"/>
        </w:rPr>
        <w:t>，</w:t>
      </w:r>
      <w:r w:rsidR="00F53929">
        <w:rPr>
          <w:rFonts w:ascii="仿宋" w:eastAsia="仿宋" w:hAnsi="仿宋" w:hint="eastAsia"/>
          <w:sz w:val="30"/>
          <w:szCs w:val="30"/>
        </w:rPr>
        <w:t>总</w:t>
      </w:r>
      <w:r>
        <w:rPr>
          <w:rFonts w:ascii="仿宋" w:eastAsia="仿宋" w:hAnsi="仿宋" w:hint="eastAsia"/>
          <w:sz w:val="30"/>
          <w:szCs w:val="30"/>
        </w:rPr>
        <w:t>人口</w:t>
      </w:r>
      <w:r w:rsidR="00534321">
        <w:rPr>
          <w:rFonts w:ascii="仿宋" w:eastAsia="仿宋" w:hAnsi="仿宋" w:hint="eastAsia"/>
          <w:sz w:val="30"/>
          <w:szCs w:val="30"/>
        </w:rPr>
        <w:t>超过全国一半</w:t>
      </w:r>
      <w:r>
        <w:rPr>
          <w:rFonts w:ascii="仿宋" w:eastAsia="仿宋" w:hAnsi="仿宋" w:hint="eastAsia"/>
          <w:sz w:val="30"/>
          <w:szCs w:val="30"/>
        </w:rPr>
        <w:t>，</w:t>
      </w:r>
      <w:r w:rsidR="00975C4D">
        <w:rPr>
          <w:rFonts w:ascii="仿宋" w:eastAsia="仿宋" w:hAnsi="仿宋" w:hint="eastAsia"/>
          <w:sz w:val="30"/>
          <w:szCs w:val="30"/>
        </w:rPr>
        <w:t>内需</w:t>
      </w:r>
      <w:r w:rsidR="00576840">
        <w:rPr>
          <w:rFonts w:ascii="仿宋" w:eastAsia="仿宋" w:hAnsi="仿宋" w:hint="eastAsia"/>
          <w:sz w:val="30"/>
          <w:szCs w:val="30"/>
        </w:rPr>
        <w:t>达到</w:t>
      </w:r>
      <w:r>
        <w:rPr>
          <w:rFonts w:ascii="仿宋" w:eastAsia="仿宋" w:hAnsi="仿宋" w:hint="eastAsia"/>
          <w:sz w:val="30"/>
          <w:szCs w:val="30"/>
        </w:rPr>
        <w:t>全国</w:t>
      </w:r>
      <w:r w:rsidR="00975C4D">
        <w:rPr>
          <w:rFonts w:ascii="仿宋" w:eastAsia="仿宋" w:hAnsi="仿宋"/>
          <w:sz w:val="30"/>
          <w:szCs w:val="30"/>
        </w:rPr>
        <w:t>42</w:t>
      </w:r>
      <w:r>
        <w:rPr>
          <w:rFonts w:ascii="仿宋" w:eastAsia="仿宋" w:hAnsi="仿宋" w:hint="eastAsia"/>
          <w:sz w:val="30"/>
          <w:szCs w:val="30"/>
        </w:rPr>
        <w:t>%</w:t>
      </w:r>
      <w:r w:rsidR="005C116C">
        <w:rPr>
          <w:rFonts w:ascii="仿宋" w:eastAsia="仿宋" w:hAnsi="仿宋" w:hint="eastAsia"/>
          <w:sz w:val="30"/>
          <w:szCs w:val="30"/>
        </w:rPr>
        <w:t>（图1）</w:t>
      </w:r>
      <w:r w:rsidR="00094155">
        <w:rPr>
          <w:rFonts w:ascii="仿宋" w:eastAsia="仿宋" w:hAnsi="仿宋" w:hint="eastAsia"/>
          <w:sz w:val="30"/>
          <w:szCs w:val="30"/>
        </w:rPr>
        <w:t>，</w:t>
      </w:r>
      <w:r w:rsidR="00F537D6">
        <w:rPr>
          <w:rFonts w:ascii="仿宋" w:eastAsia="仿宋" w:hAnsi="仿宋" w:hint="eastAsia"/>
          <w:sz w:val="30"/>
          <w:szCs w:val="30"/>
        </w:rPr>
        <w:t>整体</w:t>
      </w:r>
      <w:r w:rsidR="00F36BAA">
        <w:rPr>
          <w:rFonts w:ascii="仿宋" w:eastAsia="仿宋" w:hAnsi="仿宋" w:hint="eastAsia"/>
          <w:sz w:val="30"/>
          <w:szCs w:val="30"/>
        </w:rPr>
        <w:t>城镇化率</w:t>
      </w:r>
      <w:r w:rsidR="00F537D6">
        <w:rPr>
          <w:rFonts w:ascii="仿宋" w:eastAsia="仿宋" w:hAnsi="仿宋" w:hint="eastAsia"/>
          <w:sz w:val="30"/>
          <w:szCs w:val="30"/>
        </w:rPr>
        <w:t>仅为5</w:t>
      </w:r>
      <w:r w:rsidR="00F537D6">
        <w:rPr>
          <w:rFonts w:ascii="仿宋" w:eastAsia="仿宋" w:hAnsi="仿宋"/>
          <w:sz w:val="30"/>
          <w:szCs w:val="30"/>
        </w:rPr>
        <w:t>3</w:t>
      </w:r>
      <w:r w:rsidR="00F537D6">
        <w:rPr>
          <w:rFonts w:ascii="仿宋" w:eastAsia="仿宋" w:hAnsi="仿宋" w:hint="eastAsia"/>
          <w:sz w:val="30"/>
          <w:szCs w:val="30"/>
        </w:rPr>
        <w:t>%，</w:t>
      </w:r>
      <w:r w:rsidR="005F13E5">
        <w:rPr>
          <w:rFonts w:ascii="仿宋" w:eastAsia="仿宋" w:hAnsi="仿宋" w:hint="eastAsia"/>
          <w:sz w:val="30"/>
          <w:szCs w:val="30"/>
        </w:rPr>
        <w:t>未来</w:t>
      </w:r>
      <w:r w:rsidR="00534321">
        <w:rPr>
          <w:rFonts w:ascii="仿宋" w:eastAsia="仿宋" w:hAnsi="仿宋" w:hint="eastAsia"/>
          <w:sz w:val="30"/>
          <w:szCs w:val="30"/>
        </w:rPr>
        <w:t>五年</w:t>
      </w:r>
      <w:r w:rsidR="002F1C58">
        <w:rPr>
          <w:rFonts w:ascii="仿宋" w:eastAsia="仿宋" w:hAnsi="仿宋" w:hint="eastAsia"/>
          <w:sz w:val="30"/>
          <w:szCs w:val="30"/>
        </w:rPr>
        <w:t>提升</w:t>
      </w:r>
      <w:r>
        <w:rPr>
          <w:rFonts w:ascii="仿宋" w:eastAsia="仿宋" w:hAnsi="仿宋" w:hint="eastAsia"/>
          <w:sz w:val="30"/>
          <w:szCs w:val="30"/>
        </w:rPr>
        <w:t>城镇化</w:t>
      </w:r>
      <w:r w:rsidR="00BE0710">
        <w:rPr>
          <w:rFonts w:ascii="仿宋" w:eastAsia="仿宋" w:hAnsi="仿宋" w:hint="eastAsia"/>
          <w:sz w:val="30"/>
          <w:szCs w:val="30"/>
        </w:rPr>
        <w:t>水平</w:t>
      </w:r>
      <w:r w:rsidR="0003520A">
        <w:rPr>
          <w:rFonts w:ascii="仿宋" w:eastAsia="仿宋" w:hAnsi="仿宋" w:hint="eastAsia"/>
          <w:sz w:val="30"/>
          <w:szCs w:val="30"/>
        </w:rPr>
        <w:t>至</w:t>
      </w:r>
      <w:r w:rsidR="00975C4D" w:rsidRPr="00975C4D">
        <w:rPr>
          <w:rFonts w:ascii="仿宋" w:eastAsia="仿宋" w:hAnsi="仿宋"/>
          <w:sz w:val="30"/>
          <w:szCs w:val="30"/>
        </w:rPr>
        <w:t>60%</w:t>
      </w:r>
      <w:r>
        <w:rPr>
          <w:rFonts w:ascii="仿宋" w:eastAsia="仿宋" w:hAnsi="仿宋" w:hint="eastAsia"/>
          <w:sz w:val="30"/>
          <w:szCs w:val="30"/>
        </w:rPr>
        <w:t>，将促进</w:t>
      </w:r>
      <w:r w:rsidR="00F53929">
        <w:rPr>
          <w:rFonts w:ascii="仿宋" w:eastAsia="仿宋" w:hAnsi="仿宋"/>
          <w:sz w:val="30"/>
          <w:szCs w:val="30"/>
        </w:rPr>
        <w:t>5000</w:t>
      </w:r>
      <w:r>
        <w:rPr>
          <w:rFonts w:ascii="仿宋" w:eastAsia="仿宋" w:hAnsi="仿宋" w:hint="eastAsia"/>
          <w:sz w:val="30"/>
          <w:szCs w:val="30"/>
        </w:rPr>
        <w:t>万</w:t>
      </w:r>
      <w:r w:rsidRPr="00D85EB2">
        <w:rPr>
          <w:rFonts w:ascii="仿宋" w:eastAsia="仿宋" w:hAnsi="仿宋" w:hint="eastAsia"/>
          <w:sz w:val="30"/>
          <w:szCs w:val="30"/>
        </w:rPr>
        <w:t>农业转移人口</w:t>
      </w:r>
      <w:r w:rsidR="001E7908">
        <w:rPr>
          <w:rFonts w:ascii="仿宋" w:eastAsia="仿宋" w:hAnsi="仿宋" w:hint="eastAsia"/>
          <w:sz w:val="30"/>
          <w:szCs w:val="30"/>
        </w:rPr>
        <w:t>市民化</w:t>
      </w:r>
      <w:r>
        <w:rPr>
          <w:rFonts w:ascii="仿宋" w:eastAsia="仿宋" w:hAnsi="仿宋" w:hint="eastAsia"/>
          <w:sz w:val="30"/>
          <w:szCs w:val="30"/>
        </w:rPr>
        <w:t>，释放</w:t>
      </w:r>
      <w:r w:rsidR="00F53929">
        <w:rPr>
          <w:rFonts w:ascii="仿宋" w:eastAsia="仿宋" w:hAnsi="仿宋"/>
          <w:sz w:val="30"/>
          <w:szCs w:val="30"/>
        </w:rPr>
        <w:t>2</w:t>
      </w:r>
      <w:proofErr w:type="gramStart"/>
      <w:r>
        <w:rPr>
          <w:rFonts w:ascii="仿宋" w:eastAsia="仿宋" w:hAnsi="仿宋" w:hint="eastAsia"/>
          <w:sz w:val="30"/>
          <w:szCs w:val="30"/>
        </w:rPr>
        <w:t>万亿</w:t>
      </w:r>
      <w:proofErr w:type="gramEnd"/>
      <w:r>
        <w:rPr>
          <w:rFonts w:ascii="仿宋" w:eastAsia="仿宋" w:hAnsi="仿宋" w:hint="eastAsia"/>
          <w:sz w:val="30"/>
          <w:szCs w:val="30"/>
        </w:rPr>
        <w:t>元的</w:t>
      </w:r>
      <w:r w:rsidR="00F53929">
        <w:rPr>
          <w:rFonts w:ascii="仿宋" w:eastAsia="仿宋" w:hAnsi="仿宋" w:hint="eastAsia"/>
          <w:sz w:val="30"/>
          <w:szCs w:val="30"/>
        </w:rPr>
        <w:t>内需</w:t>
      </w:r>
      <w:r>
        <w:rPr>
          <w:rFonts w:ascii="仿宋" w:eastAsia="仿宋" w:hAnsi="仿宋" w:hint="eastAsia"/>
          <w:sz w:val="30"/>
          <w:szCs w:val="30"/>
        </w:rPr>
        <w:t>空间</w:t>
      </w:r>
      <w:r w:rsidR="00F415E7">
        <w:rPr>
          <w:rFonts w:ascii="仿宋" w:eastAsia="仿宋" w:hAnsi="仿宋" w:hint="eastAsia"/>
          <w:sz w:val="30"/>
          <w:szCs w:val="30"/>
        </w:rPr>
        <w:t>，</w:t>
      </w:r>
      <w:r w:rsidR="00011EEE">
        <w:rPr>
          <w:rFonts w:ascii="仿宋" w:eastAsia="仿宋" w:hAnsi="仿宋" w:hint="eastAsia"/>
          <w:sz w:val="30"/>
          <w:szCs w:val="30"/>
        </w:rPr>
        <w:t>直接</w:t>
      </w:r>
      <w:r w:rsidR="00F415E7">
        <w:rPr>
          <w:rFonts w:ascii="仿宋" w:eastAsia="仿宋" w:hAnsi="仿宋" w:hint="eastAsia"/>
          <w:sz w:val="30"/>
          <w:szCs w:val="30"/>
        </w:rPr>
        <w:t>提高全国G</w:t>
      </w:r>
      <w:r w:rsidR="00F415E7">
        <w:rPr>
          <w:rFonts w:ascii="仿宋" w:eastAsia="仿宋" w:hAnsi="仿宋"/>
          <w:sz w:val="30"/>
          <w:szCs w:val="30"/>
        </w:rPr>
        <w:t>DP</w:t>
      </w:r>
      <w:r w:rsidR="00F415E7">
        <w:rPr>
          <w:rFonts w:ascii="仿宋" w:eastAsia="仿宋" w:hAnsi="仿宋" w:hint="eastAsia"/>
          <w:sz w:val="30"/>
          <w:szCs w:val="30"/>
        </w:rPr>
        <w:t>年均增速0</w:t>
      </w:r>
      <w:r w:rsidR="00F415E7">
        <w:rPr>
          <w:rFonts w:ascii="仿宋" w:eastAsia="仿宋" w:hAnsi="仿宋"/>
          <w:sz w:val="30"/>
          <w:szCs w:val="30"/>
        </w:rPr>
        <w:t>.5</w:t>
      </w:r>
      <w:r w:rsidR="00F415E7">
        <w:rPr>
          <w:rFonts w:ascii="仿宋" w:eastAsia="仿宋" w:hAnsi="仿宋" w:hint="eastAsia"/>
          <w:sz w:val="30"/>
          <w:szCs w:val="30"/>
        </w:rPr>
        <w:t>个百分点</w:t>
      </w:r>
      <w:r>
        <w:rPr>
          <w:rFonts w:ascii="仿宋" w:eastAsia="仿宋" w:hAnsi="仿宋" w:hint="eastAsia"/>
          <w:sz w:val="30"/>
          <w:szCs w:val="30"/>
        </w:rPr>
        <w:t>。</w:t>
      </w:r>
      <w:r w:rsidRPr="00E57333">
        <w:rPr>
          <w:rFonts w:ascii="黑体" w:eastAsia="黑体" w:hAnsi="黑体" w:hint="eastAsia"/>
          <w:sz w:val="30"/>
          <w:szCs w:val="30"/>
        </w:rPr>
        <w:t>展望“十四五”时期，</w:t>
      </w:r>
      <w:r w:rsidR="00F53929">
        <w:rPr>
          <w:rFonts w:ascii="黑体" w:eastAsia="黑体" w:hAnsi="黑体" w:hint="eastAsia"/>
          <w:sz w:val="30"/>
          <w:szCs w:val="30"/>
        </w:rPr>
        <w:t>通过加快消除城乡区域间户籍壁垒并</w:t>
      </w:r>
      <w:r w:rsidRPr="00E57333">
        <w:rPr>
          <w:rFonts w:ascii="黑体" w:eastAsia="黑体" w:hAnsi="黑体" w:hint="eastAsia"/>
          <w:sz w:val="30"/>
          <w:szCs w:val="30"/>
        </w:rPr>
        <w:t>推进基本公共服务均等化，仍处于城镇</w:t>
      </w:r>
      <w:proofErr w:type="gramStart"/>
      <w:r w:rsidRPr="00E57333">
        <w:rPr>
          <w:rFonts w:ascii="黑体" w:eastAsia="黑体" w:hAnsi="黑体" w:hint="eastAsia"/>
          <w:sz w:val="30"/>
          <w:szCs w:val="30"/>
        </w:rPr>
        <w:t>化</w:t>
      </w:r>
      <w:r w:rsidR="00AE4DA9">
        <w:rPr>
          <w:rFonts w:ascii="黑体" w:eastAsia="黑体" w:hAnsi="黑体" w:hint="eastAsia"/>
          <w:sz w:val="30"/>
          <w:szCs w:val="30"/>
        </w:rPr>
        <w:t>快速</w:t>
      </w:r>
      <w:proofErr w:type="gramEnd"/>
      <w:r w:rsidRPr="00E57333">
        <w:rPr>
          <w:rFonts w:ascii="黑体" w:eastAsia="黑体" w:hAnsi="黑体" w:hint="eastAsia"/>
          <w:sz w:val="30"/>
          <w:szCs w:val="30"/>
        </w:rPr>
        <w:t>推进阶段</w:t>
      </w:r>
      <w:r>
        <w:rPr>
          <w:rFonts w:ascii="黑体" w:eastAsia="黑体" w:hAnsi="黑体" w:hint="eastAsia"/>
          <w:sz w:val="30"/>
          <w:szCs w:val="30"/>
        </w:rPr>
        <w:t>的省</w:t>
      </w:r>
      <w:r w:rsidR="00DE1548">
        <w:rPr>
          <w:rFonts w:ascii="黑体" w:eastAsia="黑体" w:hAnsi="黑体" w:hint="eastAsia"/>
          <w:sz w:val="30"/>
          <w:szCs w:val="30"/>
        </w:rPr>
        <w:t>份</w:t>
      </w:r>
      <w:r>
        <w:rPr>
          <w:rFonts w:ascii="黑体" w:eastAsia="黑体" w:hAnsi="黑体" w:hint="eastAsia"/>
          <w:sz w:val="30"/>
          <w:szCs w:val="30"/>
        </w:rPr>
        <w:t>有望继续释放大量的投资</w:t>
      </w:r>
      <w:r w:rsidR="00F53929">
        <w:rPr>
          <w:rFonts w:ascii="黑体" w:eastAsia="黑体" w:hAnsi="黑体" w:hint="eastAsia"/>
          <w:sz w:val="30"/>
          <w:szCs w:val="30"/>
        </w:rPr>
        <w:t>和消费</w:t>
      </w:r>
      <w:r>
        <w:rPr>
          <w:rFonts w:ascii="黑体" w:eastAsia="黑体" w:hAnsi="黑体" w:hint="eastAsia"/>
          <w:sz w:val="30"/>
          <w:szCs w:val="30"/>
        </w:rPr>
        <w:t>需求</w:t>
      </w:r>
      <w:r w:rsidRPr="00E57333">
        <w:rPr>
          <w:rFonts w:ascii="黑体" w:eastAsia="黑体" w:hAnsi="黑体" w:hint="eastAsia"/>
          <w:sz w:val="30"/>
          <w:szCs w:val="30"/>
        </w:rPr>
        <w:t>，将对我国扩大</w:t>
      </w:r>
      <w:r w:rsidR="00F53929">
        <w:rPr>
          <w:rFonts w:ascii="黑体" w:eastAsia="黑体" w:hAnsi="黑体" w:hint="eastAsia"/>
          <w:sz w:val="30"/>
          <w:szCs w:val="30"/>
        </w:rPr>
        <w:t>内需</w:t>
      </w:r>
      <w:r w:rsidRPr="00E57333">
        <w:rPr>
          <w:rFonts w:ascii="黑体" w:eastAsia="黑体" w:hAnsi="黑体" w:hint="eastAsia"/>
          <w:sz w:val="30"/>
          <w:szCs w:val="30"/>
        </w:rPr>
        <w:t>形成重要</w:t>
      </w:r>
      <w:r w:rsidR="00B47E45">
        <w:rPr>
          <w:rFonts w:ascii="黑体" w:eastAsia="黑体" w:hAnsi="黑体" w:hint="eastAsia"/>
          <w:sz w:val="30"/>
          <w:szCs w:val="30"/>
        </w:rPr>
        <w:t>推动作用</w:t>
      </w:r>
      <w:r w:rsidRPr="00E57333">
        <w:rPr>
          <w:rFonts w:ascii="黑体" w:eastAsia="黑体" w:hAnsi="黑体" w:hint="eastAsia"/>
          <w:sz w:val="30"/>
          <w:szCs w:val="30"/>
        </w:rPr>
        <w:t>。</w:t>
      </w:r>
    </w:p>
    <w:p w:rsidR="0079250A" w:rsidRDefault="00E4311E" w:rsidP="0079250A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黑体"/>
          <w:sz w:val="30"/>
          <w:szCs w:val="30"/>
        </w:rPr>
      </w:pPr>
      <w:r>
        <w:rPr>
          <w:noProof/>
        </w:rPr>
        <w:drawing>
          <wp:inline distT="0" distB="0" distL="0" distR="0" wp14:anchorId="79377122" wp14:editId="76ABB159">
            <wp:extent cx="5249141" cy="3202133"/>
            <wp:effectExtent l="0" t="0" r="889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250A" w:rsidRPr="000A2133" w:rsidRDefault="0079250A" w:rsidP="0079250A">
      <w:pPr>
        <w:adjustRightInd w:val="0"/>
        <w:snapToGrid w:val="0"/>
        <w:spacing w:line="360" w:lineRule="auto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图</w:t>
      </w:r>
      <w:r>
        <w:rPr>
          <w:rFonts w:ascii="黑体" w:eastAsia="黑体" w:hAnsi="黑体"/>
          <w:sz w:val="24"/>
          <w:szCs w:val="24"/>
        </w:rPr>
        <w:t>1</w:t>
      </w:r>
      <w:r w:rsidRPr="00BF0F4A">
        <w:rPr>
          <w:rFonts w:ascii="黑体" w:eastAsia="黑体" w:hAnsi="黑体"/>
          <w:sz w:val="24"/>
          <w:szCs w:val="24"/>
        </w:rPr>
        <w:t xml:space="preserve"> 201</w:t>
      </w:r>
      <w:r w:rsidR="00DE1548">
        <w:rPr>
          <w:rFonts w:ascii="黑体" w:eastAsia="黑体" w:hAnsi="黑体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>年各省城镇化率和</w:t>
      </w:r>
      <w:r w:rsidR="009804C5">
        <w:rPr>
          <w:rFonts w:ascii="黑体" w:eastAsia="黑体" w:hAnsi="黑体" w:hint="eastAsia"/>
          <w:sz w:val="24"/>
          <w:szCs w:val="24"/>
        </w:rPr>
        <w:t>内需</w:t>
      </w:r>
      <w:r>
        <w:rPr>
          <w:rFonts w:ascii="黑体" w:eastAsia="黑体" w:hAnsi="黑体" w:hint="eastAsia"/>
          <w:sz w:val="24"/>
          <w:szCs w:val="24"/>
        </w:rPr>
        <w:t>占全国比重</w:t>
      </w:r>
    </w:p>
    <w:p w:rsidR="0079250A" w:rsidRDefault="0079250A" w:rsidP="0079250A">
      <w:pPr>
        <w:adjustRightInd w:val="0"/>
        <w:snapToGrid w:val="0"/>
        <w:spacing w:line="30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数据</w:t>
      </w:r>
      <w:r w:rsidRPr="00BF0F4A">
        <w:rPr>
          <w:rFonts w:ascii="楷体" w:eastAsia="楷体" w:hAnsi="楷体" w:hint="eastAsia"/>
        </w:rPr>
        <w:t>来源：</w:t>
      </w:r>
      <w:r>
        <w:rPr>
          <w:rFonts w:ascii="楷体" w:eastAsia="楷体" w:hAnsi="楷体"/>
        </w:rPr>
        <w:t>W</w:t>
      </w:r>
      <w:r w:rsidRPr="00BF0F4A">
        <w:rPr>
          <w:rFonts w:ascii="楷体" w:eastAsia="楷体" w:hAnsi="楷体"/>
        </w:rPr>
        <w:t>ind</w:t>
      </w:r>
      <w:r w:rsidRPr="00BF0F4A">
        <w:rPr>
          <w:rFonts w:ascii="楷体" w:eastAsia="楷体" w:hAnsi="楷体" w:hint="eastAsia"/>
        </w:rPr>
        <w:t>。</w:t>
      </w:r>
    </w:p>
    <w:p w:rsidR="00A4449A" w:rsidRDefault="00C217B9" w:rsidP="00B32343">
      <w:pPr>
        <w:pStyle w:val="2"/>
        <w:numPr>
          <w:ilvl w:val="0"/>
          <w:numId w:val="2"/>
        </w:numPr>
        <w:spacing w:before="0" w:after="0" w:line="360" w:lineRule="auto"/>
        <w:ind w:firstLineChars="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我国</w:t>
      </w:r>
      <w:r w:rsidR="00E97384">
        <w:rPr>
          <w:rFonts w:ascii="楷体_GB2312" w:eastAsia="楷体_GB2312" w:hAnsi="楷体"/>
          <w:sz w:val="30"/>
          <w:szCs w:val="30"/>
        </w:rPr>
        <w:t>40</w:t>
      </w:r>
      <w:r w:rsidR="00E97384">
        <w:rPr>
          <w:rFonts w:ascii="楷体_GB2312" w:eastAsia="楷体_GB2312" w:hAnsi="楷体" w:hint="eastAsia"/>
          <w:sz w:val="30"/>
          <w:szCs w:val="30"/>
        </w:rPr>
        <w:t>%以上的</w:t>
      </w:r>
      <w:r w:rsidR="00DE1548">
        <w:rPr>
          <w:rFonts w:ascii="楷体_GB2312" w:eastAsia="楷体_GB2312" w:hAnsi="楷体" w:hint="eastAsia"/>
          <w:sz w:val="30"/>
          <w:szCs w:val="30"/>
        </w:rPr>
        <w:t>投资</w:t>
      </w:r>
      <w:r w:rsidR="00321474">
        <w:rPr>
          <w:rFonts w:ascii="楷体_GB2312" w:eastAsia="楷体_GB2312" w:hAnsi="楷体" w:hint="eastAsia"/>
          <w:sz w:val="30"/>
          <w:szCs w:val="30"/>
        </w:rPr>
        <w:t>需求</w:t>
      </w:r>
      <w:r w:rsidR="004C7A67">
        <w:rPr>
          <w:rFonts w:ascii="楷体_GB2312" w:eastAsia="楷体_GB2312" w:hAnsi="楷体" w:hint="eastAsia"/>
          <w:sz w:val="30"/>
          <w:szCs w:val="30"/>
        </w:rPr>
        <w:t>在中西部</w:t>
      </w:r>
      <w:r w:rsidR="001D3129">
        <w:rPr>
          <w:rFonts w:ascii="楷体_GB2312" w:eastAsia="楷体_GB2312" w:hAnsi="楷体" w:hint="eastAsia"/>
          <w:sz w:val="30"/>
          <w:szCs w:val="30"/>
        </w:rPr>
        <w:t>地区</w:t>
      </w:r>
      <w:r w:rsidR="00856E6F">
        <w:rPr>
          <w:rFonts w:ascii="楷体_GB2312" w:eastAsia="楷体_GB2312" w:hAnsi="楷体" w:hint="eastAsia"/>
          <w:sz w:val="30"/>
          <w:szCs w:val="30"/>
        </w:rPr>
        <w:t>，</w:t>
      </w:r>
      <w:r w:rsidR="007F273A">
        <w:rPr>
          <w:rFonts w:ascii="楷体_GB2312" w:eastAsia="楷体_GB2312" w:hAnsi="楷体" w:hint="eastAsia"/>
          <w:sz w:val="30"/>
          <w:szCs w:val="30"/>
        </w:rPr>
        <w:t>比重</w:t>
      </w:r>
      <w:r w:rsidR="00AD1073">
        <w:rPr>
          <w:rFonts w:ascii="楷体_GB2312" w:eastAsia="楷体_GB2312" w:hAnsi="楷体" w:hint="eastAsia"/>
          <w:sz w:val="30"/>
          <w:szCs w:val="30"/>
        </w:rPr>
        <w:t>仍有提升</w:t>
      </w:r>
      <w:r w:rsidR="007F273A">
        <w:rPr>
          <w:rFonts w:ascii="楷体_GB2312" w:eastAsia="楷体_GB2312" w:hAnsi="楷体" w:hint="eastAsia"/>
          <w:sz w:val="30"/>
          <w:szCs w:val="30"/>
        </w:rPr>
        <w:t>潜力</w:t>
      </w:r>
    </w:p>
    <w:p w:rsidR="00D05B91" w:rsidRDefault="002F30E1" w:rsidP="00F34E30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E86D45">
        <w:rPr>
          <w:rFonts w:ascii="仿宋" w:eastAsia="仿宋" w:hAnsi="仿宋" w:hint="eastAsia"/>
          <w:sz w:val="30"/>
          <w:szCs w:val="30"/>
        </w:rPr>
        <w:t>我国经济发展最大的回旋余地在中西部地区，中西部也是</w:t>
      </w:r>
      <w:r w:rsidR="00586EDD">
        <w:rPr>
          <w:rFonts w:ascii="仿宋" w:eastAsia="仿宋" w:hAnsi="仿宋" w:hint="eastAsia"/>
          <w:sz w:val="30"/>
          <w:szCs w:val="30"/>
        </w:rPr>
        <w:t>我国</w:t>
      </w:r>
      <w:r w:rsidR="00DE1548">
        <w:rPr>
          <w:rFonts w:ascii="仿宋" w:eastAsia="仿宋" w:hAnsi="仿宋" w:hint="eastAsia"/>
          <w:sz w:val="30"/>
          <w:szCs w:val="30"/>
        </w:rPr>
        <w:t>扩大有效</w:t>
      </w:r>
      <w:r w:rsidR="00DE1548" w:rsidRPr="00DE1548">
        <w:rPr>
          <w:rFonts w:ascii="仿宋" w:eastAsia="仿宋" w:hAnsi="仿宋" w:hint="eastAsia"/>
          <w:sz w:val="30"/>
          <w:szCs w:val="30"/>
        </w:rPr>
        <w:t>投资</w:t>
      </w:r>
      <w:r w:rsidRPr="00E86D45">
        <w:rPr>
          <w:rFonts w:ascii="仿宋" w:eastAsia="仿宋" w:hAnsi="仿宋" w:hint="eastAsia"/>
          <w:sz w:val="30"/>
          <w:szCs w:val="30"/>
        </w:rPr>
        <w:t>的重要支撑。</w:t>
      </w:r>
      <w:r w:rsidR="005D124B">
        <w:rPr>
          <w:rFonts w:ascii="仿宋" w:eastAsia="仿宋" w:hAnsi="仿宋" w:hint="eastAsia"/>
          <w:sz w:val="30"/>
          <w:szCs w:val="30"/>
        </w:rPr>
        <w:t>随着国家对中西部地区投入力度的持续加大，</w:t>
      </w:r>
      <w:r w:rsidR="00B2492D">
        <w:rPr>
          <w:rFonts w:ascii="仿宋" w:eastAsia="仿宋" w:hAnsi="仿宋" w:hint="eastAsia"/>
          <w:sz w:val="30"/>
          <w:szCs w:val="30"/>
        </w:rPr>
        <w:t>中西部</w:t>
      </w:r>
      <w:r w:rsidR="00247B76">
        <w:rPr>
          <w:rFonts w:ascii="仿宋" w:eastAsia="仿宋" w:hAnsi="仿宋" w:hint="eastAsia"/>
          <w:sz w:val="30"/>
          <w:szCs w:val="30"/>
        </w:rPr>
        <w:t>每年</w:t>
      </w:r>
      <w:r w:rsidR="009804C5">
        <w:rPr>
          <w:rFonts w:ascii="仿宋" w:eastAsia="仿宋" w:hAnsi="仿宋" w:hint="eastAsia"/>
          <w:sz w:val="30"/>
          <w:szCs w:val="30"/>
        </w:rPr>
        <w:t>完成</w:t>
      </w:r>
      <w:r w:rsidR="00247B76">
        <w:rPr>
          <w:rFonts w:ascii="仿宋" w:eastAsia="仿宋" w:hAnsi="仿宋" w:hint="eastAsia"/>
          <w:sz w:val="30"/>
          <w:szCs w:val="30"/>
        </w:rPr>
        <w:t>的</w:t>
      </w:r>
      <w:r w:rsidR="00B2492D">
        <w:rPr>
          <w:rFonts w:ascii="仿宋" w:eastAsia="仿宋" w:hAnsi="仿宋" w:hint="eastAsia"/>
          <w:sz w:val="30"/>
          <w:szCs w:val="30"/>
        </w:rPr>
        <w:t>资本形成</w:t>
      </w:r>
      <w:r w:rsidR="00755306">
        <w:rPr>
          <w:rFonts w:ascii="仿宋" w:eastAsia="仿宋" w:hAnsi="仿宋" w:hint="eastAsia"/>
          <w:sz w:val="30"/>
          <w:szCs w:val="30"/>
        </w:rPr>
        <w:t>总额</w:t>
      </w:r>
      <w:r w:rsidR="00247B76">
        <w:rPr>
          <w:rFonts w:ascii="仿宋" w:eastAsia="仿宋" w:hAnsi="仿宋" w:hint="eastAsia"/>
          <w:sz w:val="30"/>
          <w:szCs w:val="30"/>
        </w:rPr>
        <w:t>已经占到</w:t>
      </w:r>
      <w:r w:rsidR="00B2492D">
        <w:rPr>
          <w:rFonts w:ascii="仿宋" w:eastAsia="仿宋" w:hAnsi="仿宋" w:hint="eastAsia"/>
          <w:sz w:val="30"/>
          <w:szCs w:val="30"/>
        </w:rPr>
        <w:t>全国</w:t>
      </w:r>
      <w:r w:rsidR="00247B76">
        <w:rPr>
          <w:rFonts w:ascii="仿宋" w:eastAsia="仿宋" w:hAnsi="仿宋" w:hint="eastAsia"/>
          <w:sz w:val="30"/>
          <w:szCs w:val="30"/>
        </w:rPr>
        <w:t>的</w:t>
      </w:r>
      <w:r w:rsidR="003F0AAC">
        <w:rPr>
          <w:rFonts w:ascii="仿宋" w:eastAsia="仿宋" w:hAnsi="仿宋" w:hint="eastAsia"/>
          <w:sz w:val="30"/>
          <w:szCs w:val="30"/>
        </w:rPr>
        <w:t>4</w:t>
      </w:r>
      <w:r w:rsidR="00E53DE5">
        <w:rPr>
          <w:rFonts w:ascii="仿宋" w:eastAsia="仿宋" w:hAnsi="仿宋"/>
          <w:sz w:val="30"/>
          <w:szCs w:val="30"/>
        </w:rPr>
        <w:t>7</w:t>
      </w:r>
      <w:r w:rsidR="003F0AAC">
        <w:rPr>
          <w:rFonts w:ascii="仿宋" w:eastAsia="仿宋" w:hAnsi="仿宋" w:hint="eastAsia"/>
          <w:sz w:val="30"/>
          <w:szCs w:val="30"/>
        </w:rPr>
        <w:t>%</w:t>
      </w:r>
      <w:r w:rsidR="00D505B4">
        <w:rPr>
          <w:rFonts w:ascii="仿宋" w:eastAsia="仿宋" w:hAnsi="仿宋" w:hint="eastAsia"/>
          <w:sz w:val="30"/>
          <w:szCs w:val="30"/>
        </w:rPr>
        <w:t>左右</w:t>
      </w:r>
      <w:r w:rsidR="00C03B8C">
        <w:rPr>
          <w:rFonts w:ascii="仿宋" w:eastAsia="仿宋" w:hAnsi="仿宋" w:hint="eastAsia"/>
          <w:sz w:val="30"/>
          <w:szCs w:val="30"/>
        </w:rPr>
        <w:t>（图</w:t>
      </w:r>
      <w:r w:rsidR="00011EEE">
        <w:rPr>
          <w:rFonts w:ascii="仿宋" w:eastAsia="仿宋" w:hAnsi="仿宋" w:hint="eastAsia"/>
          <w:sz w:val="30"/>
          <w:szCs w:val="30"/>
        </w:rPr>
        <w:t>2</w:t>
      </w:r>
      <w:r w:rsidR="00C03B8C">
        <w:rPr>
          <w:rFonts w:ascii="仿宋" w:eastAsia="仿宋" w:hAnsi="仿宋" w:hint="eastAsia"/>
          <w:sz w:val="30"/>
          <w:szCs w:val="30"/>
        </w:rPr>
        <w:t>）</w:t>
      </w:r>
      <w:r w:rsidR="00F537D6">
        <w:rPr>
          <w:rFonts w:ascii="仿宋" w:eastAsia="仿宋" w:hAnsi="仿宋" w:hint="eastAsia"/>
          <w:sz w:val="30"/>
          <w:szCs w:val="30"/>
        </w:rPr>
        <w:t>，中西部每年人均完成的资本形成额</w:t>
      </w:r>
      <w:r w:rsidR="00B86620">
        <w:rPr>
          <w:rFonts w:ascii="仿宋" w:eastAsia="仿宋" w:hAnsi="仿宋" w:hint="eastAsia"/>
          <w:sz w:val="30"/>
          <w:szCs w:val="30"/>
        </w:rPr>
        <w:t>也上升到了东部</w:t>
      </w:r>
      <w:r w:rsidR="00B86620">
        <w:rPr>
          <w:rFonts w:ascii="仿宋" w:eastAsia="仿宋" w:hAnsi="仿宋" w:hint="eastAsia"/>
          <w:sz w:val="30"/>
          <w:szCs w:val="30"/>
        </w:rPr>
        <w:lastRenderedPageBreak/>
        <w:t>的7</w:t>
      </w:r>
      <w:r w:rsidR="00B86620">
        <w:rPr>
          <w:rFonts w:ascii="仿宋" w:eastAsia="仿宋" w:hAnsi="仿宋"/>
          <w:sz w:val="30"/>
          <w:szCs w:val="30"/>
        </w:rPr>
        <w:t>2</w:t>
      </w:r>
      <w:r w:rsidR="00B86620">
        <w:rPr>
          <w:rFonts w:ascii="仿宋" w:eastAsia="仿宋" w:hAnsi="仿宋" w:hint="eastAsia"/>
          <w:sz w:val="30"/>
          <w:szCs w:val="30"/>
        </w:rPr>
        <w:t>%左右</w:t>
      </w:r>
      <w:r w:rsidR="003F0AAC">
        <w:rPr>
          <w:rFonts w:ascii="仿宋" w:eastAsia="仿宋" w:hAnsi="仿宋" w:hint="eastAsia"/>
          <w:sz w:val="30"/>
          <w:szCs w:val="30"/>
        </w:rPr>
        <w:t>。</w:t>
      </w:r>
      <w:r w:rsidR="00B2492D">
        <w:rPr>
          <w:rFonts w:ascii="仿宋" w:eastAsia="仿宋" w:hAnsi="仿宋" w:hint="eastAsia"/>
          <w:sz w:val="30"/>
          <w:szCs w:val="30"/>
        </w:rPr>
        <w:t>然而</w:t>
      </w:r>
      <w:r w:rsidR="004A3395">
        <w:rPr>
          <w:rFonts w:ascii="仿宋" w:eastAsia="仿宋" w:hAnsi="仿宋" w:hint="eastAsia"/>
          <w:sz w:val="30"/>
          <w:szCs w:val="30"/>
        </w:rPr>
        <w:t>东中西</w:t>
      </w:r>
      <w:r w:rsidR="00973BF0">
        <w:rPr>
          <w:rFonts w:ascii="仿宋" w:eastAsia="仿宋" w:hAnsi="仿宋" w:hint="eastAsia"/>
          <w:sz w:val="30"/>
          <w:szCs w:val="30"/>
        </w:rPr>
        <w:t>的</w:t>
      </w:r>
      <w:r w:rsidR="004A3395">
        <w:rPr>
          <w:rFonts w:ascii="仿宋" w:eastAsia="仿宋" w:hAnsi="仿宋" w:hint="eastAsia"/>
          <w:sz w:val="30"/>
          <w:szCs w:val="30"/>
        </w:rPr>
        <w:t>投资存量差距仍然明显，</w:t>
      </w:r>
      <w:r w:rsidR="00165E32">
        <w:rPr>
          <w:rFonts w:ascii="仿宋" w:eastAsia="仿宋" w:hAnsi="仿宋" w:hint="eastAsia"/>
          <w:sz w:val="30"/>
          <w:szCs w:val="30"/>
        </w:rPr>
        <w:t>西部</w:t>
      </w:r>
      <w:r w:rsidR="00E31F64">
        <w:rPr>
          <w:rFonts w:ascii="仿宋" w:eastAsia="仿宋" w:hAnsi="仿宋" w:hint="eastAsia"/>
          <w:sz w:val="30"/>
          <w:szCs w:val="30"/>
        </w:rPr>
        <w:t>铁路</w:t>
      </w:r>
      <w:r w:rsidR="005D124B">
        <w:rPr>
          <w:rFonts w:ascii="仿宋" w:eastAsia="仿宋" w:hAnsi="仿宋" w:hint="eastAsia"/>
          <w:sz w:val="30"/>
          <w:szCs w:val="30"/>
        </w:rPr>
        <w:t>密度</w:t>
      </w:r>
      <w:r w:rsidR="00E31F64">
        <w:rPr>
          <w:rFonts w:ascii="仿宋" w:eastAsia="仿宋" w:hAnsi="仿宋" w:hint="eastAsia"/>
          <w:sz w:val="30"/>
          <w:szCs w:val="30"/>
        </w:rPr>
        <w:t>和</w:t>
      </w:r>
      <w:r w:rsidR="00165E32" w:rsidRPr="00165E32">
        <w:rPr>
          <w:rFonts w:ascii="仿宋" w:eastAsia="仿宋" w:hAnsi="仿宋" w:hint="eastAsia"/>
          <w:sz w:val="30"/>
          <w:szCs w:val="30"/>
        </w:rPr>
        <w:t>等级公路</w:t>
      </w:r>
      <w:r w:rsidR="005D124B">
        <w:rPr>
          <w:rFonts w:ascii="仿宋" w:eastAsia="仿宋" w:hAnsi="仿宋" w:hint="eastAsia"/>
          <w:sz w:val="30"/>
          <w:szCs w:val="30"/>
        </w:rPr>
        <w:t>密度</w:t>
      </w:r>
      <w:r w:rsidR="00E31F64">
        <w:rPr>
          <w:rFonts w:ascii="仿宋" w:eastAsia="仿宋" w:hAnsi="仿宋" w:hint="eastAsia"/>
          <w:sz w:val="30"/>
          <w:szCs w:val="30"/>
        </w:rPr>
        <w:t>仅有东部的2</w:t>
      </w:r>
      <w:r w:rsidR="00E31F64">
        <w:rPr>
          <w:rFonts w:ascii="仿宋" w:eastAsia="仿宋" w:hAnsi="仿宋"/>
          <w:sz w:val="30"/>
          <w:szCs w:val="30"/>
        </w:rPr>
        <w:t>1</w:t>
      </w:r>
      <w:r w:rsidR="00E31F64">
        <w:rPr>
          <w:rFonts w:ascii="仿宋" w:eastAsia="仿宋" w:hAnsi="仿宋" w:hint="eastAsia"/>
          <w:sz w:val="30"/>
          <w:szCs w:val="30"/>
        </w:rPr>
        <w:t>%和2</w:t>
      </w:r>
      <w:r w:rsidR="00E31F64">
        <w:rPr>
          <w:rFonts w:ascii="仿宋" w:eastAsia="仿宋" w:hAnsi="仿宋"/>
          <w:sz w:val="30"/>
          <w:szCs w:val="30"/>
        </w:rPr>
        <w:t>4</w:t>
      </w:r>
      <w:r w:rsidR="00E31F64">
        <w:rPr>
          <w:rFonts w:ascii="仿宋" w:eastAsia="仿宋" w:hAnsi="仿宋" w:hint="eastAsia"/>
          <w:sz w:val="30"/>
          <w:szCs w:val="30"/>
        </w:rPr>
        <w:t>%，</w:t>
      </w:r>
      <w:r w:rsidR="0081791F">
        <w:rPr>
          <w:rFonts w:ascii="仿宋" w:eastAsia="仿宋" w:hAnsi="仿宋" w:hint="eastAsia"/>
          <w:sz w:val="30"/>
          <w:szCs w:val="30"/>
        </w:rPr>
        <w:t>中部</w:t>
      </w:r>
      <w:proofErr w:type="gramStart"/>
      <w:r w:rsidR="0081791F" w:rsidRPr="0081791F">
        <w:rPr>
          <w:rFonts w:ascii="仿宋" w:eastAsia="仿宋" w:hAnsi="仿宋" w:hint="eastAsia"/>
          <w:sz w:val="30"/>
          <w:szCs w:val="30"/>
        </w:rPr>
        <w:t>人均</w:t>
      </w:r>
      <w:r w:rsidR="00EF7CF3">
        <w:rPr>
          <w:rFonts w:ascii="仿宋" w:eastAsia="仿宋" w:hAnsi="仿宋" w:hint="eastAsia"/>
          <w:sz w:val="30"/>
          <w:szCs w:val="30"/>
        </w:rPr>
        <w:t>年</w:t>
      </w:r>
      <w:r w:rsidR="0081791F" w:rsidRPr="0081791F">
        <w:rPr>
          <w:rFonts w:ascii="仿宋" w:eastAsia="仿宋" w:hAnsi="仿宋" w:hint="eastAsia"/>
          <w:sz w:val="30"/>
          <w:szCs w:val="30"/>
        </w:rPr>
        <w:t>乘</w:t>
      </w:r>
      <w:r w:rsidR="00EF7CF3">
        <w:rPr>
          <w:rFonts w:ascii="仿宋" w:eastAsia="仿宋" w:hAnsi="仿宋" w:hint="eastAsia"/>
          <w:sz w:val="30"/>
          <w:szCs w:val="30"/>
        </w:rPr>
        <w:t>飞</w:t>
      </w:r>
      <w:r w:rsidR="0081791F" w:rsidRPr="0081791F">
        <w:rPr>
          <w:rFonts w:ascii="仿宋" w:eastAsia="仿宋" w:hAnsi="仿宋" w:hint="eastAsia"/>
          <w:sz w:val="30"/>
          <w:szCs w:val="30"/>
        </w:rPr>
        <w:t>机</w:t>
      </w:r>
      <w:proofErr w:type="gramEnd"/>
      <w:r w:rsidR="0081791F" w:rsidRPr="0081791F">
        <w:rPr>
          <w:rFonts w:ascii="仿宋" w:eastAsia="仿宋" w:hAnsi="仿宋" w:hint="eastAsia"/>
          <w:sz w:val="30"/>
          <w:szCs w:val="30"/>
        </w:rPr>
        <w:t>次数</w:t>
      </w:r>
      <w:r w:rsidR="0081791F">
        <w:rPr>
          <w:rFonts w:ascii="仿宋" w:eastAsia="仿宋" w:hAnsi="仿宋" w:hint="eastAsia"/>
          <w:sz w:val="30"/>
          <w:szCs w:val="30"/>
        </w:rPr>
        <w:t>仅为东部的3</w:t>
      </w:r>
      <w:r w:rsidR="0081791F">
        <w:rPr>
          <w:rFonts w:ascii="仿宋" w:eastAsia="仿宋" w:hAnsi="仿宋"/>
          <w:sz w:val="30"/>
          <w:szCs w:val="30"/>
        </w:rPr>
        <w:t>0</w:t>
      </w:r>
      <w:r w:rsidR="0081791F">
        <w:rPr>
          <w:rFonts w:ascii="仿宋" w:eastAsia="仿宋" w:hAnsi="仿宋" w:hint="eastAsia"/>
          <w:sz w:val="30"/>
          <w:szCs w:val="30"/>
        </w:rPr>
        <w:t>%，</w:t>
      </w:r>
      <w:r w:rsidR="00E97B13">
        <w:rPr>
          <w:rFonts w:ascii="仿宋" w:eastAsia="仿宋" w:hAnsi="仿宋" w:hint="eastAsia"/>
          <w:sz w:val="30"/>
          <w:szCs w:val="30"/>
        </w:rPr>
        <w:t>中西部</w:t>
      </w:r>
      <w:r w:rsidR="006E2FE2">
        <w:rPr>
          <w:rFonts w:ascii="仿宋" w:eastAsia="仿宋" w:hAnsi="仿宋" w:hint="eastAsia"/>
          <w:sz w:val="30"/>
          <w:szCs w:val="30"/>
        </w:rPr>
        <w:t>互联网普及率仍落后东部1</w:t>
      </w:r>
      <w:r w:rsidR="006E2FE2">
        <w:rPr>
          <w:rFonts w:ascii="仿宋" w:eastAsia="仿宋" w:hAnsi="仿宋"/>
          <w:sz w:val="30"/>
          <w:szCs w:val="30"/>
        </w:rPr>
        <w:t>0</w:t>
      </w:r>
      <w:r w:rsidR="006E2FE2">
        <w:rPr>
          <w:rFonts w:ascii="仿宋" w:eastAsia="仿宋" w:hAnsi="仿宋" w:hint="eastAsia"/>
          <w:sz w:val="30"/>
          <w:szCs w:val="30"/>
        </w:rPr>
        <w:t>个百分点以上</w:t>
      </w:r>
      <w:r w:rsidR="00B86620">
        <w:rPr>
          <w:rFonts w:ascii="仿宋" w:eastAsia="仿宋" w:hAnsi="仿宋" w:hint="eastAsia"/>
          <w:sz w:val="30"/>
          <w:szCs w:val="30"/>
        </w:rPr>
        <w:t>，</w:t>
      </w:r>
      <w:r w:rsidR="001E7457">
        <w:rPr>
          <w:rFonts w:ascii="仿宋" w:eastAsia="仿宋" w:hAnsi="仿宋" w:hint="eastAsia"/>
          <w:sz w:val="30"/>
          <w:szCs w:val="30"/>
        </w:rPr>
        <w:t>基础设施是</w:t>
      </w:r>
      <w:r w:rsidR="00B86620">
        <w:rPr>
          <w:rFonts w:ascii="仿宋" w:eastAsia="仿宋" w:hAnsi="仿宋" w:hint="eastAsia"/>
          <w:sz w:val="30"/>
          <w:szCs w:val="30"/>
        </w:rPr>
        <w:t>中西部特别是西部地区的</w:t>
      </w:r>
      <w:r w:rsidR="001E7457">
        <w:rPr>
          <w:rFonts w:ascii="仿宋" w:eastAsia="仿宋" w:hAnsi="仿宋" w:hint="eastAsia"/>
          <w:sz w:val="30"/>
          <w:szCs w:val="30"/>
        </w:rPr>
        <w:t>一大</w:t>
      </w:r>
      <w:r w:rsidR="00B86620">
        <w:rPr>
          <w:rFonts w:ascii="仿宋" w:eastAsia="仿宋" w:hAnsi="仿宋" w:hint="eastAsia"/>
          <w:sz w:val="30"/>
          <w:szCs w:val="30"/>
        </w:rPr>
        <w:t>短板</w:t>
      </w:r>
      <w:r w:rsidR="00F34E30">
        <w:rPr>
          <w:rFonts w:ascii="仿宋" w:eastAsia="仿宋" w:hAnsi="仿宋" w:hint="eastAsia"/>
          <w:sz w:val="30"/>
          <w:szCs w:val="30"/>
        </w:rPr>
        <w:t>。</w:t>
      </w:r>
      <w:r w:rsidR="00CD3BE1" w:rsidRPr="004259AF">
        <w:rPr>
          <w:rFonts w:ascii="黑体" w:eastAsia="黑体" w:hAnsi="黑体" w:hint="eastAsia"/>
          <w:sz w:val="30"/>
          <w:szCs w:val="30"/>
        </w:rPr>
        <w:t>展望</w:t>
      </w:r>
      <w:r w:rsidR="00E86D45" w:rsidRPr="004259AF">
        <w:rPr>
          <w:rFonts w:ascii="黑体" w:eastAsia="黑体" w:hAnsi="黑体" w:hint="eastAsia"/>
          <w:sz w:val="30"/>
          <w:szCs w:val="30"/>
        </w:rPr>
        <w:t>“十四五”</w:t>
      </w:r>
      <w:r w:rsidR="00CD3BE1" w:rsidRPr="004259AF">
        <w:rPr>
          <w:rFonts w:ascii="黑体" w:eastAsia="黑体" w:hAnsi="黑体" w:hint="eastAsia"/>
          <w:sz w:val="30"/>
          <w:szCs w:val="30"/>
        </w:rPr>
        <w:t>时期</w:t>
      </w:r>
      <w:r w:rsidR="005B183E" w:rsidRPr="004259AF">
        <w:rPr>
          <w:rFonts w:ascii="黑体" w:eastAsia="黑体" w:hAnsi="黑体" w:hint="eastAsia"/>
          <w:sz w:val="30"/>
          <w:szCs w:val="30"/>
        </w:rPr>
        <w:t>，</w:t>
      </w:r>
      <w:r w:rsidR="00867FF4" w:rsidRPr="004259AF">
        <w:rPr>
          <w:rFonts w:ascii="黑体" w:eastAsia="黑体" w:hAnsi="黑体" w:hint="eastAsia"/>
          <w:sz w:val="30"/>
          <w:szCs w:val="30"/>
        </w:rPr>
        <w:t>在</w:t>
      </w:r>
      <w:r w:rsidR="005D124B" w:rsidRPr="005D124B">
        <w:rPr>
          <w:rFonts w:ascii="黑体" w:eastAsia="黑体" w:hAnsi="黑体" w:hint="eastAsia"/>
          <w:sz w:val="30"/>
          <w:szCs w:val="30"/>
        </w:rPr>
        <w:t>国家</w:t>
      </w:r>
      <w:r w:rsidR="006A5167">
        <w:rPr>
          <w:rFonts w:ascii="黑体" w:eastAsia="黑体" w:hAnsi="黑体" w:hint="eastAsia"/>
          <w:sz w:val="30"/>
          <w:szCs w:val="30"/>
        </w:rPr>
        <w:t>重大基础设施</w:t>
      </w:r>
      <w:r w:rsidR="00867FF4" w:rsidRPr="004259AF">
        <w:rPr>
          <w:rFonts w:ascii="黑体" w:eastAsia="黑体" w:hAnsi="黑体" w:hint="eastAsia"/>
          <w:sz w:val="30"/>
          <w:szCs w:val="30"/>
        </w:rPr>
        <w:t>带动下，</w:t>
      </w:r>
      <w:r w:rsidR="005D124B">
        <w:rPr>
          <w:rFonts w:ascii="黑体" w:eastAsia="黑体" w:hAnsi="黑体" w:hint="eastAsia"/>
          <w:sz w:val="30"/>
          <w:szCs w:val="30"/>
        </w:rPr>
        <w:t>在</w:t>
      </w:r>
      <w:r w:rsidR="00EC46AA">
        <w:rPr>
          <w:rFonts w:ascii="黑体" w:eastAsia="黑体" w:hAnsi="黑体" w:hint="eastAsia"/>
          <w:sz w:val="30"/>
          <w:szCs w:val="30"/>
        </w:rPr>
        <w:t>妥善防控</w:t>
      </w:r>
      <w:r w:rsidR="005D124B">
        <w:rPr>
          <w:rFonts w:ascii="黑体" w:eastAsia="黑体" w:hAnsi="黑体" w:hint="eastAsia"/>
          <w:sz w:val="30"/>
          <w:szCs w:val="30"/>
        </w:rPr>
        <w:t>地方债务风险的前提下</w:t>
      </w:r>
      <w:r w:rsidR="00762B64" w:rsidRPr="004259AF">
        <w:rPr>
          <w:rFonts w:ascii="黑体" w:eastAsia="黑体" w:hAnsi="黑体" w:hint="eastAsia"/>
          <w:sz w:val="30"/>
          <w:szCs w:val="30"/>
        </w:rPr>
        <w:t>，中西部</w:t>
      </w:r>
      <w:r w:rsidR="00C217B9" w:rsidRPr="004259AF">
        <w:rPr>
          <w:rFonts w:ascii="黑体" w:eastAsia="黑体" w:hAnsi="黑体" w:hint="eastAsia"/>
          <w:sz w:val="30"/>
          <w:szCs w:val="30"/>
        </w:rPr>
        <w:t>地区</w:t>
      </w:r>
      <w:r w:rsidR="00F45A04" w:rsidRPr="00F45A04">
        <w:rPr>
          <w:rFonts w:ascii="黑体" w:eastAsia="黑体" w:hAnsi="黑体" w:hint="eastAsia"/>
          <w:sz w:val="30"/>
          <w:szCs w:val="30"/>
        </w:rPr>
        <w:t>基础设施仍有投资提升空间</w:t>
      </w:r>
      <w:r w:rsidR="00F45A04">
        <w:rPr>
          <w:rFonts w:ascii="黑体" w:eastAsia="黑体" w:hAnsi="黑体" w:hint="eastAsia"/>
          <w:sz w:val="30"/>
          <w:szCs w:val="30"/>
        </w:rPr>
        <w:t>，</w:t>
      </w:r>
      <w:r w:rsidR="005B183E" w:rsidRPr="004259AF">
        <w:rPr>
          <w:rFonts w:ascii="黑体" w:eastAsia="黑体" w:hAnsi="黑体" w:hint="eastAsia"/>
          <w:sz w:val="30"/>
          <w:szCs w:val="30"/>
        </w:rPr>
        <w:t>将对我国</w:t>
      </w:r>
      <w:r w:rsidR="00C217B9" w:rsidRPr="004259AF">
        <w:rPr>
          <w:rFonts w:ascii="黑体" w:eastAsia="黑体" w:hAnsi="黑体" w:hint="eastAsia"/>
          <w:sz w:val="30"/>
          <w:szCs w:val="30"/>
        </w:rPr>
        <w:t>扩大</w:t>
      </w:r>
      <w:r w:rsidR="005D124B">
        <w:rPr>
          <w:rFonts w:ascii="黑体" w:eastAsia="黑体" w:hAnsi="黑体" w:hint="eastAsia"/>
          <w:sz w:val="30"/>
          <w:szCs w:val="30"/>
        </w:rPr>
        <w:t>投资需求</w:t>
      </w:r>
      <w:r w:rsidR="005B183E" w:rsidRPr="004259AF">
        <w:rPr>
          <w:rFonts w:ascii="黑体" w:eastAsia="黑体" w:hAnsi="黑体" w:hint="eastAsia"/>
          <w:sz w:val="30"/>
          <w:szCs w:val="30"/>
        </w:rPr>
        <w:t>形成</w:t>
      </w:r>
      <w:r w:rsidR="00B56E0D" w:rsidRPr="004259AF">
        <w:rPr>
          <w:rFonts w:ascii="黑体" w:eastAsia="黑体" w:hAnsi="黑体" w:hint="eastAsia"/>
          <w:sz w:val="30"/>
          <w:szCs w:val="30"/>
        </w:rPr>
        <w:t>重要支撑</w:t>
      </w:r>
      <w:r w:rsidR="00FB61D6" w:rsidRPr="004259AF">
        <w:rPr>
          <w:rFonts w:ascii="黑体" w:eastAsia="黑体" w:hAnsi="黑体" w:hint="eastAsia"/>
          <w:sz w:val="30"/>
          <w:szCs w:val="30"/>
        </w:rPr>
        <w:t>。</w:t>
      </w:r>
    </w:p>
    <w:p w:rsidR="00E97B13" w:rsidRDefault="00E97B13" w:rsidP="00F34E30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686D88F1" wp14:editId="16C310CD">
            <wp:extent cx="4572000" cy="274320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4CA4" w:rsidRPr="002478ED" w:rsidRDefault="00EF4CA4" w:rsidP="00EF4CA4">
      <w:pPr>
        <w:adjustRightInd w:val="0"/>
        <w:snapToGrid w:val="0"/>
        <w:spacing w:line="360" w:lineRule="auto"/>
        <w:ind w:firstLineChars="200" w:firstLine="480"/>
        <w:jc w:val="center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sz w:val="24"/>
          <w:szCs w:val="24"/>
        </w:rPr>
        <w:t>图2</w:t>
      </w:r>
      <w:r w:rsidRPr="00BF0F4A"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中西部地区资本形成总额占全国比重</w:t>
      </w:r>
    </w:p>
    <w:p w:rsidR="005E65FB" w:rsidRDefault="00086521" w:rsidP="00B32343">
      <w:pPr>
        <w:pStyle w:val="2"/>
        <w:numPr>
          <w:ilvl w:val="0"/>
          <w:numId w:val="2"/>
        </w:numPr>
        <w:spacing w:before="0" w:after="0" w:line="360" w:lineRule="auto"/>
        <w:ind w:firstLineChars="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我国</w:t>
      </w:r>
      <w:r w:rsidR="004E039D">
        <w:rPr>
          <w:rFonts w:ascii="楷体_GB2312" w:eastAsia="楷体_GB2312" w:hAnsi="楷体" w:hint="eastAsia"/>
          <w:sz w:val="30"/>
          <w:szCs w:val="30"/>
        </w:rPr>
        <w:t>4</w:t>
      </w:r>
      <w:r w:rsidR="004E039D">
        <w:rPr>
          <w:rFonts w:ascii="楷体_GB2312" w:eastAsia="楷体_GB2312" w:hAnsi="楷体"/>
          <w:sz w:val="30"/>
          <w:szCs w:val="30"/>
        </w:rPr>
        <w:t>0</w:t>
      </w:r>
      <w:r w:rsidR="004E039D">
        <w:rPr>
          <w:rFonts w:ascii="楷体_GB2312" w:eastAsia="楷体_GB2312" w:hAnsi="楷体" w:hint="eastAsia"/>
          <w:sz w:val="30"/>
          <w:szCs w:val="30"/>
        </w:rPr>
        <w:t>%以上的</w:t>
      </w:r>
      <w:r w:rsidR="004C7A67">
        <w:rPr>
          <w:rFonts w:ascii="楷体_GB2312" w:eastAsia="楷体_GB2312" w:hAnsi="楷体" w:hint="eastAsia"/>
          <w:sz w:val="30"/>
          <w:szCs w:val="30"/>
        </w:rPr>
        <w:t>消费</w:t>
      </w:r>
      <w:r>
        <w:rPr>
          <w:rFonts w:ascii="楷体_GB2312" w:eastAsia="楷体_GB2312" w:hAnsi="楷体" w:hint="eastAsia"/>
          <w:sz w:val="30"/>
          <w:szCs w:val="30"/>
        </w:rPr>
        <w:t>需求</w:t>
      </w:r>
      <w:r w:rsidR="004C5EC8">
        <w:rPr>
          <w:rFonts w:ascii="楷体_GB2312" w:eastAsia="楷体_GB2312" w:hAnsi="楷体" w:hint="eastAsia"/>
          <w:sz w:val="30"/>
          <w:szCs w:val="30"/>
        </w:rPr>
        <w:t>在京津冀、粤港澳</w:t>
      </w:r>
      <w:r w:rsidR="003D6DF9">
        <w:rPr>
          <w:rFonts w:ascii="楷体_GB2312" w:eastAsia="楷体_GB2312" w:hAnsi="楷体" w:hint="eastAsia"/>
          <w:sz w:val="30"/>
          <w:szCs w:val="30"/>
        </w:rPr>
        <w:t>大湾区</w:t>
      </w:r>
      <w:r w:rsidR="004C5EC8">
        <w:rPr>
          <w:rFonts w:ascii="楷体_GB2312" w:eastAsia="楷体_GB2312" w:hAnsi="楷体" w:hint="eastAsia"/>
          <w:sz w:val="30"/>
          <w:szCs w:val="30"/>
        </w:rPr>
        <w:t>、长三角</w:t>
      </w:r>
      <w:r w:rsidR="003D6DF9">
        <w:rPr>
          <w:rFonts w:ascii="楷体_GB2312" w:eastAsia="楷体_GB2312" w:hAnsi="楷体" w:hint="eastAsia"/>
          <w:sz w:val="30"/>
          <w:szCs w:val="30"/>
        </w:rPr>
        <w:t>区域</w:t>
      </w:r>
      <w:r w:rsidR="00856E6F">
        <w:rPr>
          <w:rFonts w:ascii="楷体_GB2312" w:eastAsia="楷体_GB2312" w:hAnsi="楷体" w:hint="eastAsia"/>
          <w:sz w:val="30"/>
          <w:szCs w:val="30"/>
        </w:rPr>
        <w:t>，消费升级潜力</w:t>
      </w:r>
      <w:r w:rsidR="001D3129">
        <w:rPr>
          <w:rFonts w:ascii="楷体_GB2312" w:eastAsia="楷体_GB2312" w:hAnsi="楷体" w:hint="eastAsia"/>
          <w:sz w:val="30"/>
          <w:szCs w:val="30"/>
        </w:rPr>
        <w:t>广阔</w:t>
      </w:r>
    </w:p>
    <w:p w:rsidR="006D70A6" w:rsidRPr="006166C8" w:rsidRDefault="00400A1B" w:rsidP="006166C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京津冀、粤港澳大湾区、长三角</w:t>
      </w:r>
      <w:r w:rsidR="00BE0710">
        <w:rPr>
          <w:rFonts w:ascii="仿宋" w:eastAsia="仿宋" w:hAnsi="仿宋" w:hint="eastAsia"/>
          <w:sz w:val="30"/>
          <w:szCs w:val="30"/>
        </w:rPr>
        <w:t>区域</w:t>
      </w:r>
      <w:r w:rsidR="00AF58A4">
        <w:rPr>
          <w:rFonts w:ascii="仿宋" w:eastAsia="仿宋" w:hAnsi="仿宋" w:hint="eastAsia"/>
          <w:sz w:val="30"/>
          <w:szCs w:val="30"/>
        </w:rPr>
        <w:t>是我国经济最发达</w:t>
      </w:r>
      <w:r w:rsidR="00322001">
        <w:rPr>
          <w:rFonts w:ascii="仿宋" w:eastAsia="仿宋" w:hAnsi="仿宋" w:hint="eastAsia"/>
          <w:sz w:val="30"/>
          <w:szCs w:val="30"/>
        </w:rPr>
        <w:t>的地区，也是我国</w:t>
      </w:r>
      <w:r w:rsidR="00AF58A4">
        <w:rPr>
          <w:rFonts w:ascii="仿宋" w:eastAsia="仿宋" w:hAnsi="仿宋" w:hint="eastAsia"/>
          <w:sz w:val="30"/>
          <w:szCs w:val="30"/>
        </w:rPr>
        <w:t>人民生活水平最高的地区。</w:t>
      </w:r>
      <w:r w:rsidR="00974E67">
        <w:rPr>
          <w:rFonts w:ascii="仿宋" w:eastAsia="仿宋" w:hAnsi="仿宋" w:hint="eastAsia"/>
          <w:sz w:val="30"/>
          <w:szCs w:val="30"/>
        </w:rPr>
        <w:t>2</w:t>
      </w:r>
      <w:r w:rsidR="00974E67">
        <w:rPr>
          <w:rFonts w:ascii="仿宋" w:eastAsia="仿宋" w:hAnsi="仿宋"/>
          <w:sz w:val="30"/>
          <w:szCs w:val="30"/>
        </w:rPr>
        <w:t>018</w:t>
      </w:r>
      <w:r w:rsidR="00974E67">
        <w:rPr>
          <w:rFonts w:ascii="仿宋" w:eastAsia="仿宋" w:hAnsi="仿宋" w:hint="eastAsia"/>
          <w:sz w:val="30"/>
          <w:szCs w:val="30"/>
        </w:rPr>
        <w:t>年</w:t>
      </w:r>
      <w:r w:rsidR="006B261C">
        <w:rPr>
          <w:rFonts w:ascii="仿宋" w:eastAsia="仿宋" w:hAnsi="仿宋" w:hint="eastAsia"/>
          <w:sz w:val="30"/>
          <w:szCs w:val="30"/>
        </w:rPr>
        <w:t>，</w:t>
      </w:r>
      <w:r w:rsidR="00124766">
        <w:rPr>
          <w:rFonts w:ascii="仿宋" w:eastAsia="仿宋" w:hAnsi="仿宋" w:hint="eastAsia"/>
          <w:sz w:val="30"/>
          <w:szCs w:val="30"/>
        </w:rPr>
        <w:t>上述地区</w:t>
      </w:r>
      <w:r w:rsidR="006F14F0" w:rsidRPr="006F14F0">
        <w:rPr>
          <w:rFonts w:ascii="仿宋" w:eastAsia="仿宋" w:hAnsi="仿宋"/>
          <w:sz w:val="30"/>
          <w:szCs w:val="30"/>
        </w:rPr>
        <w:t>已经迈进世界银行</w:t>
      </w:r>
      <w:r w:rsidR="006F14F0">
        <w:rPr>
          <w:rFonts w:ascii="仿宋" w:eastAsia="仿宋" w:hAnsi="仿宋" w:hint="eastAsia"/>
          <w:sz w:val="30"/>
          <w:szCs w:val="30"/>
        </w:rPr>
        <w:t>最新</w:t>
      </w:r>
      <w:r w:rsidR="006F14F0" w:rsidRPr="006F14F0">
        <w:rPr>
          <w:rFonts w:ascii="仿宋" w:eastAsia="仿宋" w:hAnsi="仿宋"/>
          <w:sz w:val="30"/>
          <w:szCs w:val="30"/>
        </w:rPr>
        <w:t>定义的高收入阶段，</w:t>
      </w:r>
      <w:r w:rsidR="00BE0710">
        <w:rPr>
          <w:rFonts w:ascii="仿宋" w:eastAsia="仿宋" w:hAnsi="仿宋" w:hint="eastAsia"/>
          <w:sz w:val="30"/>
          <w:szCs w:val="30"/>
        </w:rPr>
        <w:t>最终</w:t>
      </w:r>
      <w:r w:rsidR="006B261C">
        <w:rPr>
          <w:rFonts w:ascii="仿宋" w:eastAsia="仿宋" w:hAnsi="仿宋" w:hint="eastAsia"/>
          <w:sz w:val="30"/>
          <w:szCs w:val="30"/>
        </w:rPr>
        <w:t>消费占全国的4</w:t>
      </w:r>
      <w:r w:rsidR="006B261C">
        <w:rPr>
          <w:rFonts w:ascii="仿宋" w:eastAsia="仿宋" w:hAnsi="仿宋"/>
          <w:sz w:val="30"/>
          <w:szCs w:val="30"/>
        </w:rPr>
        <w:t>5</w:t>
      </w:r>
      <w:r w:rsidR="006B261C">
        <w:rPr>
          <w:rFonts w:ascii="仿宋" w:eastAsia="仿宋" w:hAnsi="仿宋" w:hint="eastAsia"/>
          <w:sz w:val="30"/>
          <w:szCs w:val="30"/>
        </w:rPr>
        <w:t>%左右</w:t>
      </w:r>
      <w:r w:rsidR="003A59E5">
        <w:rPr>
          <w:rFonts w:ascii="仿宋" w:eastAsia="仿宋" w:hAnsi="仿宋" w:hint="eastAsia"/>
          <w:sz w:val="30"/>
          <w:szCs w:val="30"/>
        </w:rPr>
        <w:t>，</w:t>
      </w:r>
      <w:r w:rsidR="00C35AFC">
        <w:rPr>
          <w:rFonts w:ascii="仿宋" w:eastAsia="仿宋" w:hAnsi="仿宋" w:hint="eastAsia"/>
          <w:sz w:val="30"/>
          <w:szCs w:val="30"/>
        </w:rPr>
        <w:t>居民</w:t>
      </w:r>
      <w:r w:rsidR="00BA3224" w:rsidRPr="00B553E7">
        <w:rPr>
          <w:rFonts w:ascii="仿宋" w:eastAsia="仿宋" w:hAnsi="仿宋" w:hint="eastAsia"/>
          <w:sz w:val="30"/>
          <w:szCs w:val="30"/>
        </w:rPr>
        <w:t>消费</w:t>
      </w:r>
      <w:r w:rsidR="00BA3224">
        <w:rPr>
          <w:rFonts w:ascii="仿宋" w:eastAsia="仿宋" w:hAnsi="仿宋" w:hint="eastAsia"/>
          <w:sz w:val="30"/>
          <w:szCs w:val="30"/>
        </w:rPr>
        <w:t>水平</w:t>
      </w:r>
      <w:r w:rsidR="008E68B5">
        <w:rPr>
          <w:rFonts w:ascii="仿宋" w:eastAsia="仿宋" w:hAnsi="仿宋" w:hint="eastAsia"/>
          <w:sz w:val="30"/>
          <w:szCs w:val="30"/>
        </w:rPr>
        <w:t>是</w:t>
      </w:r>
      <w:r w:rsidR="00BA3224">
        <w:rPr>
          <w:rFonts w:ascii="仿宋" w:eastAsia="仿宋" w:hAnsi="仿宋" w:hint="eastAsia"/>
          <w:sz w:val="30"/>
          <w:szCs w:val="30"/>
        </w:rPr>
        <w:t>全国</w:t>
      </w:r>
      <w:r w:rsidR="008E68B5">
        <w:rPr>
          <w:rFonts w:ascii="仿宋" w:eastAsia="仿宋" w:hAnsi="仿宋" w:hint="eastAsia"/>
          <w:sz w:val="30"/>
          <w:szCs w:val="30"/>
        </w:rPr>
        <w:t>的1.</w:t>
      </w:r>
      <w:r w:rsidR="008E68B5">
        <w:rPr>
          <w:rFonts w:ascii="仿宋" w:eastAsia="仿宋" w:hAnsi="仿宋"/>
          <w:sz w:val="30"/>
          <w:szCs w:val="30"/>
        </w:rPr>
        <w:t>6</w:t>
      </w:r>
      <w:r w:rsidR="008E68B5">
        <w:rPr>
          <w:rFonts w:ascii="仿宋" w:eastAsia="仿宋" w:hAnsi="仿宋" w:hint="eastAsia"/>
          <w:sz w:val="30"/>
          <w:szCs w:val="30"/>
        </w:rPr>
        <w:t>倍</w:t>
      </w:r>
      <w:r w:rsidR="005C116C">
        <w:rPr>
          <w:rFonts w:ascii="仿宋" w:eastAsia="仿宋" w:hAnsi="仿宋" w:hint="eastAsia"/>
          <w:sz w:val="30"/>
          <w:szCs w:val="30"/>
        </w:rPr>
        <w:t>（图3）</w:t>
      </w:r>
      <w:r w:rsidR="00EF4B62">
        <w:rPr>
          <w:rFonts w:ascii="仿宋" w:eastAsia="仿宋" w:hAnsi="仿宋" w:hint="eastAsia"/>
          <w:sz w:val="30"/>
          <w:szCs w:val="30"/>
        </w:rPr>
        <w:t>，消费升级步伐领先内地五年左右</w:t>
      </w:r>
      <w:r w:rsidR="00124766">
        <w:rPr>
          <w:rFonts w:ascii="仿宋" w:eastAsia="仿宋" w:hAnsi="仿宋" w:hint="eastAsia"/>
          <w:sz w:val="30"/>
          <w:szCs w:val="30"/>
        </w:rPr>
        <w:t>。</w:t>
      </w:r>
      <w:r w:rsidR="009049D5" w:rsidRPr="009049D5">
        <w:rPr>
          <w:rFonts w:ascii="仿宋" w:eastAsia="仿宋" w:hAnsi="仿宋" w:hint="eastAsia"/>
          <w:sz w:val="30"/>
          <w:szCs w:val="30"/>
        </w:rPr>
        <w:t>得益于收入的持续提升与互联网技术的不断进步，</w:t>
      </w:r>
      <w:r w:rsidR="00A05251">
        <w:rPr>
          <w:rFonts w:ascii="仿宋" w:eastAsia="仿宋" w:hAnsi="仿宋" w:hint="eastAsia"/>
          <w:sz w:val="30"/>
          <w:szCs w:val="30"/>
        </w:rPr>
        <w:t>以上海、北京、广州为代表的大都市消费正在成为引领我国消费</w:t>
      </w:r>
      <w:r w:rsidR="00A05251">
        <w:rPr>
          <w:rFonts w:ascii="仿宋" w:eastAsia="仿宋" w:hAnsi="仿宋" w:hint="eastAsia"/>
          <w:sz w:val="30"/>
          <w:szCs w:val="30"/>
        </w:rPr>
        <w:lastRenderedPageBreak/>
        <w:t>结构升级的风向标，</w:t>
      </w:r>
      <w:r w:rsidR="00F74DA0" w:rsidRPr="00F772A2">
        <w:rPr>
          <w:rFonts w:ascii="仿宋" w:eastAsia="仿宋" w:hAnsi="仿宋" w:hint="eastAsia"/>
          <w:sz w:val="30"/>
          <w:szCs w:val="30"/>
        </w:rPr>
        <w:t>信息消费、</w:t>
      </w:r>
      <w:r w:rsidR="00F772A2">
        <w:rPr>
          <w:rFonts w:ascii="仿宋" w:eastAsia="仿宋" w:hAnsi="仿宋" w:hint="eastAsia"/>
          <w:sz w:val="30"/>
          <w:szCs w:val="30"/>
        </w:rPr>
        <w:t>服务消费、</w:t>
      </w:r>
      <w:r w:rsidR="00F772A2" w:rsidRPr="00F772A2">
        <w:rPr>
          <w:rFonts w:ascii="仿宋" w:eastAsia="仿宋" w:hAnsi="仿宋" w:hint="eastAsia"/>
          <w:sz w:val="30"/>
          <w:szCs w:val="30"/>
        </w:rPr>
        <w:t>绿色消费、</w:t>
      </w:r>
      <w:r w:rsidR="00F772A2">
        <w:rPr>
          <w:rFonts w:ascii="仿宋" w:eastAsia="仿宋" w:hAnsi="仿宋" w:hint="eastAsia"/>
          <w:sz w:val="30"/>
          <w:szCs w:val="30"/>
        </w:rPr>
        <w:t>个性化消费</w:t>
      </w:r>
      <w:r w:rsidR="00A05251">
        <w:rPr>
          <w:rFonts w:ascii="仿宋" w:eastAsia="仿宋" w:hAnsi="仿宋" w:hint="eastAsia"/>
          <w:sz w:val="30"/>
          <w:szCs w:val="30"/>
        </w:rPr>
        <w:t>快速增长</w:t>
      </w:r>
      <w:r w:rsidR="00333F6B">
        <w:rPr>
          <w:rFonts w:ascii="仿宋" w:eastAsia="仿宋" w:hAnsi="仿宋" w:hint="eastAsia"/>
          <w:sz w:val="30"/>
          <w:szCs w:val="30"/>
        </w:rPr>
        <w:t>，消费潜力逐渐爆发</w:t>
      </w:r>
      <w:r w:rsidR="006166C8">
        <w:rPr>
          <w:rFonts w:ascii="仿宋" w:eastAsia="仿宋" w:hAnsi="仿宋" w:hint="eastAsia"/>
          <w:sz w:val="30"/>
          <w:szCs w:val="30"/>
        </w:rPr>
        <w:t>。</w:t>
      </w:r>
      <w:r w:rsidR="00322001" w:rsidRPr="00E57333">
        <w:rPr>
          <w:rFonts w:ascii="黑体" w:eastAsia="黑体" w:hAnsi="黑体" w:hint="eastAsia"/>
          <w:sz w:val="30"/>
          <w:szCs w:val="30"/>
        </w:rPr>
        <w:t>展望“十四五”时期，通过</w:t>
      </w:r>
      <w:r w:rsidR="001B78B0">
        <w:rPr>
          <w:rFonts w:ascii="黑体" w:eastAsia="黑体" w:hAnsi="黑体" w:hint="eastAsia"/>
          <w:sz w:val="30"/>
          <w:szCs w:val="30"/>
        </w:rPr>
        <w:t>建设</w:t>
      </w:r>
      <w:r w:rsidR="00A05251">
        <w:rPr>
          <w:rFonts w:ascii="黑体" w:eastAsia="黑体" w:hAnsi="黑体" w:hint="eastAsia"/>
          <w:sz w:val="30"/>
          <w:szCs w:val="30"/>
        </w:rPr>
        <w:t>强大的区域</w:t>
      </w:r>
      <w:r w:rsidR="00124950">
        <w:rPr>
          <w:rFonts w:ascii="黑体" w:eastAsia="黑体" w:hAnsi="黑体" w:hint="eastAsia"/>
          <w:sz w:val="30"/>
          <w:szCs w:val="30"/>
        </w:rPr>
        <w:t>一体化</w:t>
      </w:r>
      <w:r w:rsidR="00A05251">
        <w:rPr>
          <w:rFonts w:ascii="黑体" w:eastAsia="黑体" w:hAnsi="黑体" w:hint="eastAsia"/>
          <w:sz w:val="30"/>
          <w:szCs w:val="30"/>
        </w:rPr>
        <w:t>市场</w:t>
      </w:r>
      <w:r w:rsidR="00322001" w:rsidRPr="00E57333">
        <w:rPr>
          <w:rFonts w:ascii="黑体" w:eastAsia="黑体" w:hAnsi="黑体" w:hint="eastAsia"/>
          <w:sz w:val="30"/>
          <w:szCs w:val="30"/>
        </w:rPr>
        <w:t>，</w:t>
      </w:r>
      <w:r w:rsidR="00B436C7">
        <w:rPr>
          <w:rFonts w:ascii="黑体" w:eastAsia="黑体" w:hAnsi="黑体" w:hint="eastAsia"/>
          <w:sz w:val="30"/>
          <w:szCs w:val="30"/>
        </w:rPr>
        <w:t>发挥北京、上海、广州等消费中心城市对河北、安徽</w:t>
      </w:r>
      <w:r w:rsidR="00322001" w:rsidRPr="00322001">
        <w:rPr>
          <w:rFonts w:ascii="黑体" w:eastAsia="黑体" w:hAnsi="黑体" w:hint="eastAsia"/>
          <w:sz w:val="30"/>
          <w:szCs w:val="30"/>
        </w:rPr>
        <w:t>、粤</w:t>
      </w:r>
      <w:r w:rsidR="00EF4B62">
        <w:rPr>
          <w:rFonts w:ascii="黑体" w:eastAsia="黑体" w:hAnsi="黑体" w:hint="eastAsia"/>
          <w:sz w:val="30"/>
          <w:szCs w:val="30"/>
        </w:rPr>
        <w:t>西</w:t>
      </w:r>
      <w:r w:rsidR="00322001">
        <w:rPr>
          <w:rFonts w:ascii="黑体" w:eastAsia="黑体" w:hAnsi="黑体" w:hint="eastAsia"/>
          <w:sz w:val="30"/>
          <w:szCs w:val="30"/>
        </w:rPr>
        <w:t>等</w:t>
      </w:r>
      <w:r w:rsidR="00976ABB">
        <w:rPr>
          <w:rFonts w:ascii="黑体" w:eastAsia="黑体" w:hAnsi="黑体" w:hint="eastAsia"/>
          <w:sz w:val="30"/>
          <w:szCs w:val="30"/>
        </w:rPr>
        <w:t>周边地区</w:t>
      </w:r>
      <w:r w:rsidR="00322001">
        <w:rPr>
          <w:rFonts w:ascii="黑体" w:eastAsia="黑体" w:hAnsi="黑体" w:hint="eastAsia"/>
          <w:sz w:val="30"/>
          <w:szCs w:val="30"/>
        </w:rPr>
        <w:t>的</w:t>
      </w:r>
      <w:r w:rsidR="00322001" w:rsidRPr="00322001">
        <w:rPr>
          <w:rFonts w:ascii="黑体" w:eastAsia="黑体" w:hAnsi="黑体" w:hint="eastAsia"/>
          <w:sz w:val="30"/>
          <w:szCs w:val="30"/>
        </w:rPr>
        <w:t>消费示范</w:t>
      </w:r>
      <w:r w:rsidR="00A05251">
        <w:rPr>
          <w:rFonts w:ascii="黑体" w:eastAsia="黑体" w:hAnsi="黑体" w:hint="eastAsia"/>
          <w:sz w:val="30"/>
          <w:szCs w:val="30"/>
        </w:rPr>
        <w:t>带动</w:t>
      </w:r>
      <w:r w:rsidR="00322001" w:rsidRPr="00322001">
        <w:rPr>
          <w:rFonts w:ascii="黑体" w:eastAsia="黑体" w:hAnsi="黑体" w:hint="eastAsia"/>
          <w:sz w:val="30"/>
          <w:szCs w:val="30"/>
        </w:rPr>
        <w:t>效应</w:t>
      </w:r>
      <w:r w:rsidR="00322001">
        <w:rPr>
          <w:rFonts w:ascii="黑体" w:eastAsia="黑体" w:hAnsi="黑体" w:hint="eastAsia"/>
          <w:sz w:val="30"/>
          <w:szCs w:val="30"/>
        </w:rPr>
        <w:t>，</w:t>
      </w:r>
      <w:r w:rsidR="00A05251" w:rsidRPr="00A05251">
        <w:rPr>
          <w:rFonts w:ascii="黑体" w:eastAsia="黑体" w:hAnsi="黑体" w:hint="eastAsia"/>
          <w:sz w:val="30"/>
          <w:szCs w:val="30"/>
        </w:rPr>
        <w:t>京津冀、粤港澳大湾区、长三角</w:t>
      </w:r>
      <w:r w:rsidR="00322001" w:rsidRPr="00E57333">
        <w:rPr>
          <w:rFonts w:ascii="黑体" w:eastAsia="黑体" w:hAnsi="黑体" w:hint="eastAsia"/>
          <w:sz w:val="30"/>
          <w:szCs w:val="30"/>
        </w:rPr>
        <w:t>将</w:t>
      </w:r>
      <w:r w:rsidR="00583BE9">
        <w:rPr>
          <w:rFonts w:ascii="黑体" w:eastAsia="黑体" w:hAnsi="黑体" w:hint="eastAsia"/>
          <w:sz w:val="30"/>
          <w:szCs w:val="30"/>
        </w:rPr>
        <w:t>形成一个近5亿人口的中高端消费市场，</w:t>
      </w:r>
      <w:r w:rsidR="00322001" w:rsidRPr="00E57333">
        <w:rPr>
          <w:rFonts w:ascii="黑体" w:eastAsia="黑体" w:hAnsi="黑体" w:hint="eastAsia"/>
          <w:sz w:val="30"/>
          <w:szCs w:val="30"/>
        </w:rPr>
        <w:t>对我国扩大</w:t>
      </w:r>
      <w:r w:rsidR="00322001">
        <w:rPr>
          <w:rFonts w:ascii="黑体" w:eastAsia="黑体" w:hAnsi="黑体" w:hint="eastAsia"/>
          <w:sz w:val="30"/>
          <w:szCs w:val="30"/>
        </w:rPr>
        <w:t>消费需求</w:t>
      </w:r>
      <w:r w:rsidR="00A05251">
        <w:rPr>
          <w:rFonts w:ascii="黑体" w:eastAsia="黑体" w:hAnsi="黑体" w:hint="eastAsia"/>
          <w:sz w:val="30"/>
          <w:szCs w:val="30"/>
        </w:rPr>
        <w:t>和促进消费结构升级</w:t>
      </w:r>
      <w:r w:rsidR="00322001" w:rsidRPr="00E57333">
        <w:rPr>
          <w:rFonts w:ascii="黑体" w:eastAsia="黑体" w:hAnsi="黑体" w:hint="eastAsia"/>
          <w:sz w:val="30"/>
          <w:szCs w:val="30"/>
        </w:rPr>
        <w:t>形成重要</w:t>
      </w:r>
      <w:r w:rsidR="00394C76">
        <w:rPr>
          <w:rFonts w:ascii="黑体" w:eastAsia="黑体" w:hAnsi="黑体" w:hint="eastAsia"/>
          <w:sz w:val="30"/>
          <w:szCs w:val="30"/>
        </w:rPr>
        <w:t>引领</w:t>
      </w:r>
      <w:r w:rsidR="00322001" w:rsidRPr="00E57333">
        <w:rPr>
          <w:rFonts w:ascii="黑体" w:eastAsia="黑体" w:hAnsi="黑体" w:hint="eastAsia"/>
          <w:sz w:val="30"/>
          <w:szCs w:val="30"/>
        </w:rPr>
        <w:t>。</w:t>
      </w:r>
    </w:p>
    <w:p w:rsidR="00310E61" w:rsidRDefault="00FE66CD" w:rsidP="00FE66CD">
      <w:pPr>
        <w:adjustRightInd w:val="0"/>
        <w:snapToGrid w:val="0"/>
        <w:spacing w:line="360" w:lineRule="auto"/>
        <w:jc w:val="center"/>
      </w:pPr>
      <w:r>
        <w:rPr>
          <w:noProof/>
        </w:rPr>
        <w:drawing>
          <wp:inline distT="0" distB="0" distL="0" distR="0" wp14:anchorId="2CCB85CD" wp14:editId="16D8E616">
            <wp:extent cx="4572000" cy="274320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66CD" w:rsidRDefault="00FE66CD" w:rsidP="00FE66C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图</w:t>
      </w:r>
      <w:r w:rsidR="008460F7">
        <w:rPr>
          <w:rFonts w:ascii="黑体" w:eastAsia="黑体" w:hAnsi="黑体"/>
          <w:sz w:val="24"/>
          <w:szCs w:val="24"/>
        </w:rPr>
        <w:t>3</w:t>
      </w:r>
      <w:r w:rsidRPr="00BF0F4A">
        <w:rPr>
          <w:rFonts w:ascii="黑体" w:eastAsia="黑体" w:hAnsi="黑体"/>
          <w:sz w:val="24"/>
          <w:szCs w:val="24"/>
        </w:rPr>
        <w:t xml:space="preserve"> </w:t>
      </w:r>
      <w:r w:rsidRPr="00FE66CD">
        <w:rPr>
          <w:rFonts w:ascii="黑体" w:eastAsia="黑体" w:hAnsi="黑体" w:hint="eastAsia"/>
          <w:sz w:val="24"/>
          <w:szCs w:val="24"/>
        </w:rPr>
        <w:t>京津冀、粤港澳大湾区、长三角</w:t>
      </w:r>
      <w:r>
        <w:rPr>
          <w:rFonts w:ascii="黑体" w:eastAsia="黑体" w:hAnsi="黑体" w:hint="eastAsia"/>
          <w:sz w:val="24"/>
          <w:szCs w:val="24"/>
        </w:rPr>
        <w:t>部分省份2</w:t>
      </w:r>
      <w:r>
        <w:rPr>
          <w:rFonts w:ascii="黑体" w:eastAsia="黑体" w:hAnsi="黑体"/>
          <w:sz w:val="24"/>
          <w:szCs w:val="24"/>
        </w:rPr>
        <w:t>018</w:t>
      </w:r>
      <w:r>
        <w:rPr>
          <w:rFonts w:ascii="黑体" w:eastAsia="黑体" w:hAnsi="黑体" w:hint="eastAsia"/>
          <w:sz w:val="24"/>
          <w:szCs w:val="24"/>
        </w:rPr>
        <w:t>年居民人均消费支出</w:t>
      </w:r>
    </w:p>
    <w:p w:rsidR="00537370" w:rsidRDefault="00537370" w:rsidP="00537370">
      <w:pPr>
        <w:adjustRightInd w:val="0"/>
        <w:snapToGrid w:val="0"/>
        <w:spacing w:line="30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数据</w:t>
      </w:r>
      <w:r w:rsidRPr="00BF0F4A">
        <w:rPr>
          <w:rFonts w:ascii="楷体" w:eastAsia="楷体" w:hAnsi="楷体" w:hint="eastAsia"/>
        </w:rPr>
        <w:t>来源：</w:t>
      </w:r>
      <w:r>
        <w:rPr>
          <w:rFonts w:ascii="楷体" w:eastAsia="楷体" w:hAnsi="楷体"/>
        </w:rPr>
        <w:t>W</w:t>
      </w:r>
      <w:r w:rsidRPr="00BF0F4A">
        <w:rPr>
          <w:rFonts w:ascii="楷体" w:eastAsia="楷体" w:hAnsi="楷体"/>
        </w:rPr>
        <w:t>ind</w:t>
      </w:r>
      <w:r w:rsidRPr="00BF0F4A">
        <w:rPr>
          <w:rFonts w:ascii="楷体" w:eastAsia="楷体" w:hAnsi="楷体" w:hint="eastAsia"/>
        </w:rPr>
        <w:t>。</w:t>
      </w:r>
    </w:p>
    <w:p w:rsidR="00625100" w:rsidRDefault="00625100" w:rsidP="00537370">
      <w:pPr>
        <w:adjustRightInd w:val="0"/>
        <w:snapToGrid w:val="0"/>
        <w:spacing w:line="300" w:lineRule="auto"/>
        <w:rPr>
          <w:rFonts w:ascii="楷体" w:eastAsia="楷体" w:hAnsi="楷体"/>
        </w:rPr>
      </w:pPr>
    </w:p>
    <w:p w:rsidR="00625100" w:rsidRDefault="00AC75BA" w:rsidP="00AC75BA">
      <w:pPr>
        <w:pStyle w:val="2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="黑体" w:eastAsia="黑体" w:hAnsi="黑体"/>
          <w:b w:val="0"/>
        </w:rPr>
      </w:pPr>
      <w:r w:rsidRPr="00AC75BA">
        <w:rPr>
          <w:rFonts w:ascii="黑体" w:eastAsia="黑体" w:hAnsi="黑体"/>
          <w:b w:val="0"/>
        </w:rPr>
        <w:t>释放内需潜力</w:t>
      </w:r>
      <w:r>
        <w:rPr>
          <w:rFonts w:ascii="黑体" w:eastAsia="黑体" w:hAnsi="黑体" w:hint="eastAsia"/>
          <w:b w:val="0"/>
        </w:rPr>
        <w:t>需要</w:t>
      </w:r>
      <w:r w:rsidR="008C6CD0">
        <w:rPr>
          <w:rFonts w:ascii="黑体" w:eastAsia="黑体" w:hAnsi="黑体" w:hint="eastAsia"/>
          <w:b w:val="0"/>
        </w:rPr>
        <w:t>重点</w:t>
      </w:r>
      <w:r>
        <w:rPr>
          <w:rFonts w:ascii="黑体" w:eastAsia="黑体" w:hAnsi="黑体" w:hint="eastAsia"/>
          <w:b w:val="0"/>
        </w:rPr>
        <w:t>关注</w:t>
      </w:r>
      <w:r w:rsidR="00625100">
        <w:rPr>
          <w:rFonts w:ascii="黑体" w:eastAsia="黑体" w:hAnsi="黑体" w:hint="eastAsia"/>
          <w:b w:val="0"/>
        </w:rPr>
        <w:t>的区域新问题新挑战</w:t>
      </w:r>
    </w:p>
    <w:p w:rsidR="00625100" w:rsidRPr="006B6952" w:rsidRDefault="00625100" w:rsidP="00625100">
      <w:pPr>
        <w:pStyle w:val="2"/>
        <w:spacing w:before="0" w:after="0" w:line="360" w:lineRule="auto"/>
        <w:ind w:firstLine="602"/>
        <w:rPr>
          <w:rFonts w:ascii="楷体_GB2312" w:eastAsia="楷体_GB2312" w:hAnsi="楷体"/>
          <w:sz w:val="30"/>
          <w:szCs w:val="30"/>
        </w:rPr>
      </w:pPr>
      <w:r w:rsidRPr="008E5E5C">
        <w:rPr>
          <w:rFonts w:ascii="楷体_GB2312" w:eastAsia="楷体_GB2312" w:hAnsi="楷体" w:hint="eastAsia"/>
          <w:sz w:val="30"/>
          <w:szCs w:val="30"/>
        </w:rPr>
        <w:t>（一）</w:t>
      </w:r>
      <w:r w:rsidR="00DC19A4">
        <w:rPr>
          <w:rFonts w:ascii="楷体_GB2312" w:eastAsia="楷体_GB2312" w:hAnsi="楷体" w:hint="eastAsia"/>
          <w:sz w:val="30"/>
          <w:szCs w:val="30"/>
        </w:rPr>
        <w:t>全国1</w:t>
      </w:r>
      <w:r w:rsidR="00DC19A4">
        <w:rPr>
          <w:rFonts w:ascii="楷体_GB2312" w:eastAsia="楷体_GB2312" w:hAnsi="楷体"/>
          <w:sz w:val="30"/>
          <w:szCs w:val="30"/>
        </w:rPr>
        <w:t>/3</w:t>
      </w:r>
      <w:r w:rsidR="00851CBA">
        <w:rPr>
          <w:rFonts w:ascii="楷体_GB2312" w:eastAsia="楷体_GB2312" w:hAnsi="楷体" w:hint="eastAsia"/>
          <w:sz w:val="30"/>
          <w:szCs w:val="30"/>
        </w:rPr>
        <w:t>地级市</w:t>
      </w:r>
      <w:r w:rsidR="00B51C06">
        <w:rPr>
          <w:rFonts w:ascii="楷体_GB2312" w:eastAsia="楷体_GB2312" w:hAnsi="楷体" w:hint="eastAsia"/>
          <w:sz w:val="30"/>
          <w:szCs w:val="30"/>
        </w:rPr>
        <w:t>面临</w:t>
      </w:r>
      <w:r>
        <w:rPr>
          <w:rFonts w:ascii="楷体_GB2312" w:eastAsia="楷体_GB2312" w:hAnsi="楷体" w:hint="eastAsia"/>
          <w:sz w:val="30"/>
          <w:szCs w:val="30"/>
        </w:rPr>
        <w:t>人口经济</w:t>
      </w:r>
      <w:proofErr w:type="gramStart"/>
      <w:r w:rsidR="00AC2975">
        <w:rPr>
          <w:rFonts w:ascii="楷体_GB2312" w:eastAsia="楷体_GB2312" w:hAnsi="楷体" w:hint="eastAsia"/>
          <w:sz w:val="30"/>
          <w:szCs w:val="30"/>
        </w:rPr>
        <w:t>份额</w:t>
      </w:r>
      <w:r>
        <w:rPr>
          <w:rFonts w:ascii="楷体_GB2312" w:eastAsia="楷体_GB2312" w:hAnsi="楷体" w:hint="eastAsia"/>
          <w:sz w:val="30"/>
          <w:szCs w:val="30"/>
        </w:rPr>
        <w:t>双</w:t>
      </w:r>
      <w:proofErr w:type="gramEnd"/>
      <w:r w:rsidR="000431CC">
        <w:rPr>
          <w:rFonts w:ascii="楷体_GB2312" w:eastAsia="楷体_GB2312" w:hAnsi="楷体" w:hint="eastAsia"/>
          <w:sz w:val="30"/>
          <w:szCs w:val="30"/>
        </w:rPr>
        <w:t>收缩</w:t>
      </w:r>
    </w:p>
    <w:p w:rsidR="00625100" w:rsidRPr="0027443A" w:rsidRDefault="00625100" w:rsidP="006251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2012</w:t>
      </w:r>
      <w:r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/>
          <w:sz w:val="30"/>
          <w:szCs w:val="30"/>
        </w:rPr>
        <w:t>2017</w:t>
      </w:r>
      <w:r>
        <w:rPr>
          <w:rFonts w:ascii="仿宋" w:eastAsia="仿宋" w:hAnsi="仿宋" w:hint="eastAsia"/>
          <w:sz w:val="30"/>
          <w:szCs w:val="30"/>
        </w:rPr>
        <w:t>年，我国</w:t>
      </w:r>
      <w:r w:rsidRPr="00800956">
        <w:rPr>
          <w:rFonts w:ascii="仿宋" w:eastAsia="仿宋" w:hAnsi="仿宋" w:hint="eastAsia"/>
          <w:sz w:val="30"/>
          <w:szCs w:val="30"/>
        </w:rPr>
        <w:t>3</w:t>
      </w:r>
      <w:r w:rsidRPr="00800956">
        <w:rPr>
          <w:rFonts w:ascii="仿宋" w:eastAsia="仿宋" w:hAnsi="仿宋"/>
          <w:sz w:val="30"/>
          <w:szCs w:val="30"/>
        </w:rPr>
        <w:t>3</w:t>
      </w:r>
      <w:r w:rsidR="002D6257">
        <w:rPr>
          <w:rFonts w:ascii="仿宋" w:eastAsia="仿宋" w:hAnsi="仿宋"/>
          <w:sz w:val="30"/>
          <w:szCs w:val="30"/>
        </w:rPr>
        <w:t>8</w:t>
      </w:r>
      <w:r w:rsidRPr="00800956">
        <w:rPr>
          <w:rFonts w:ascii="仿宋" w:eastAsia="仿宋" w:hAnsi="仿宋" w:hint="eastAsia"/>
          <w:sz w:val="30"/>
          <w:szCs w:val="30"/>
        </w:rPr>
        <w:t>个地级</w:t>
      </w:r>
      <w:r w:rsidR="002D6257">
        <w:rPr>
          <w:rFonts w:ascii="仿宋" w:eastAsia="仿宋" w:hAnsi="仿宋" w:hint="eastAsia"/>
          <w:sz w:val="30"/>
          <w:szCs w:val="30"/>
        </w:rPr>
        <w:t>及以上城</w:t>
      </w:r>
      <w:r w:rsidRPr="00800956">
        <w:rPr>
          <w:rFonts w:ascii="仿宋" w:eastAsia="仿宋" w:hAnsi="仿宋" w:hint="eastAsia"/>
          <w:sz w:val="30"/>
          <w:szCs w:val="30"/>
        </w:rPr>
        <w:t>市</w:t>
      </w:r>
      <w:r>
        <w:rPr>
          <w:rFonts w:ascii="仿宋" w:eastAsia="仿宋" w:hAnsi="仿宋" w:hint="eastAsia"/>
          <w:sz w:val="30"/>
          <w:szCs w:val="30"/>
        </w:rPr>
        <w:t>中</w:t>
      </w:r>
      <w:r w:rsidRPr="00800956">
        <w:rPr>
          <w:rFonts w:ascii="仿宋" w:eastAsia="仿宋" w:hAnsi="仿宋" w:hint="eastAsia"/>
          <w:sz w:val="30"/>
          <w:szCs w:val="30"/>
        </w:rPr>
        <w:t>，</w:t>
      </w:r>
      <w:r w:rsidR="004C182C">
        <w:rPr>
          <w:rFonts w:ascii="仿宋" w:eastAsia="仿宋" w:hAnsi="仿宋" w:hint="eastAsia"/>
          <w:sz w:val="30"/>
          <w:szCs w:val="30"/>
        </w:rPr>
        <w:t>有1</w:t>
      </w:r>
      <w:r w:rsidR="004C182C">
        <w:rPr>
          <w:rFonts w:ascii="仿宋" w:eastAsia="仿宋" w:hAnsi="仿宋"/>
          <w:sz w:val="30"/>
          <w:szCs w:val="30"/>
        </w:rPr>
        <w:t>05</w:t>
      </w:r>
      <w:r w:rsidR="004C182C">
        <w:rPr>
          <w:rFonts w:ascii="仿宋" w:eastAsia="仿宋" w:hAnsi="仿宋" w:hint="eastAsia"/>
          <w:sz w:val="30"/>
          <w:szCs w:val="30"/>
        </w:rPr>
        <w:t>个</w:t>
      </w:r>
      <w:r w:rsidR="001C431F">
        <w:rPr>
          <w:rFonts w:ascii="仿宋" w:eastAsia="仿宋" w:hAnsi="仿宋" w:hint="eastAsia"/>
          <w:sz w:val="30"/>
          <w:szCs w:val="30"/>
        </w:rPr>
        <w:t>出现</w:t>
      </w:r>
      <w:r w:rsidR="005948EE">
        <w:rPr>
          <w:rFonts w:ascii="仿宋" w:eastAsia="仿宋" w:hAnsi="仿宋" w:hint="eastAsia"/>
          <w:sz w:val="30"/>
          <w:szCs w:val="30"/>
        </w:rPr>
        <w:t>人口</w:t>
      </w:r>
      <w:r w:rsidR="00632462">
        <w:rPr>
          <w:rFonts w:ascii="仿宋" w:eastAsia="仿宋" w:hAnsi="仿宋" w:hint="eastAsia"/>
          <w:sz w:val="30"/>
          <w:szCs w:val="30"/>
        </w:rPr>
        <w:t>份额</w:t>
      </w:r>
      <w:r w:rsidR="005948EE">
        <w:rPr>
          <w:rFonts w:ascii="仿宋" w:eastAsia="仿宋" w:hAnsi="仿宋" w:hint="eastAsia"/>
          <w:sz w:val="30"/>
          <w:szCs w:val="30"/>
        </w:rPr>
        <w:t>和经济</w:t>
      </w:r>
      <w:r w:rsidR="00632462">
        <w:rPr>
          <w:rFonts w:ascii="仿宋" w:eastAsia="仿宋" w:hAnsi="仿宋" w:hint="eastAsia"/>
          <w:sz w:val="30"/>
          <w:szCs w:val="30"/>
        </w:rPr>
        <w:t>份额</w:t>
      </w:r>
      <w:r>
        <w:rPr>
          <w:rFonts w:ascii="仿宋" w:eastAsia="仿宋" w:hAnsi="仿宋" w:hint="eastAsia"/>
          <w:sz w:val="30"/>
          <w:szCs w:val="30"/>
        </w:rPr>
        <w:t>“双收缩”</w:t>
      </w:r>
      <w:r w:rsidR="00A157C1">
        <w:rPr>
          <w:rFonts w:ascii="仿宋" w:eastAsia="仿宋" w:hAnsi="仿宋" w:hint="eastAsia"/>
          <w:sz w:val="30"/>
          <w:szCs w:val="30"/>
        </w:rPr>
        <w:t>，</w:t>
      </w:r>
      <w:r w:rsidR="003B2409">
        <w:rPr>
          <w:rFonts w:ascii="仿宋" w:eastAsia="仿宋" w:hAnsi="仿宋" w:hint="eastAsia"/>
          <w:sz w:val="30"/>
          <w:szCs w:val="30"/>
        </w:rPr>
        <w:t>其中</w:t>
      </w:r>
      <w:r w:rsidR="00DC19A4" w:rsidRPr="008E7EB4">
        <w:rPr>
          <w:rFonts w:ascii="仿宋" w:eastAsia="仿宋" w:hAnsi="仿宋" w:hint="eastAsia"/>
          <w:sz w:val="30"/>
          <w:szCs w:val="30"/>
        </w:rPr>
        <w:t>1</w:t>
      </w:r>
      <w:r w:rsidR="00DC19A4" w:rsidRPr="008E7EB4">
        <w:rPr>
          <w:rFonts w:ascii="仿宋" w:eastAsia="仿宋" w:hAnsi="仿宋"/>
          <w:sz w:val="30"/>
          <w:szCs w:val="30"/>
        </w:rPr>
        <w:t>6个在东部</w:t>
      </w:r>
      <w:r w:rsidR="00DC19A4">
        <w:rPr>
          <w:rFonts w:ascii="仿宋" w:eastAsia="仿宋" w:hAnsi="仿宋" w:hint="eastAsia"/>
          <w:sz w:val="30"/>
          <w:szCs w:val="30"/>
        </w:rPr>
        <w:t>、</w:t>
      </w:r>
      <w:r w:rsidR="0079777E">
        <w:rPr>
          <w:rFonts w:ascii="仿宋" w:eastAsia="仿宋" w:hAnsi="仿宋" w:hint="eastAsia"/>
          <w:sz w:val="30"/>
          <w:szCs w:val="30"/>
        </w:rPr>
        <w:t>1</w:t>
      </w:r>
      <w:r w:rsidR="0079777E">
        <w:rPr>
          <w:rFonts w:ascii="仿宋" w:eastAsia="仿宋" w:hAnsi="仿宋"/>
          <w:sz w:val="30"/>
          <w:szCs w:val="30"/>
        </w:rPr>
        <w:t>1</w:t>
      </w:r>
      <w:r w:rsidR="0079777E">
        <w:rPr>
          <w:rFonts w:ascii="仿宋" w:eastAsia="仿宋" w:hAnsi="仿宋" w:hint="eastAsia"/>
          <w:sz w:val="30"/>
          <w:szCs w:val="30"/>
        </w:rPr>
        <w:t>个中部、</w:t>
      </w:r>
      <w:r w:rsidR="00851CBA">
        <w:rPr>
          <w:rFonts w:ascii="仿宋" w:eastAsia="仿宋" w:hAnsi="仿宋" w:hint="eastAsia"/>
          <w:sz w:val="30"/>
          <w:szCs w:val="30"/>
        </w:rPr>
        <w:t>4</w:t>
      </w:r>
      <w:r w:rsidR="00851CBA">
        <w:rPr>
          <w:rFonts w:ascii="仿宋" w:eastAsia="仿宋" w:hAnsi="仿宋"/>
          <w:sz w:val="30"/>
          <w:szCs w:val="30"/>
        </w:rPr>
        <w:t>4个在</w:t>
      </w:r>
      <w:r w:rsidR="003B2409">
        <w:rPr>
          <w:rFonts w:ascii="仿宋" w:eastAsia="仿宋" w:hAnsi="仿宋"/>
          <w:sz w:val="30"/>
          <w:szCs w:val="30"/>
        </w:rPr>
        <w:t>西部</w:t>
      </w:r>
      <w:r w:rsidR="003B2409">
        <w:rPr>
          <w:rFonts w:ascii="仿宋" w:eastAsia="仿宋" w:hAnsi="仿宋" w:hint="eastAsia"/>
          <w:sz w:val="30"/>
          <w:szCs w:val="30"/>
        </w:rPr>
        <w:t>、</w:t>
      </w:r>
      <w:r w:rsidR="00D8245B">
        <w:rPr>
          <w:rFonts w:ascii="仿宋" w:eastAsia="仿宋" w:hAnsi="仿宋" w:hint="eastAsia"/>
          <w:sz w:val="30"/>
          <w:szCs w:val="30"/>
        </w:rPr>
        <w:t>3</w:t>
      </w:r>
      <w:r w:rsidR="00D8245B">
        <w:rPr>
          <w:rFonts w:ascii="仿宋" w:eastAsia="仿宋" w:hAnsi="仿宋"/>
          <w:sz w:val="30"/>
          <w:szCs w:val="30"/>
        </w:rPr>
        <w:t>4</w:t>
      </w:r>
      <w:r w:rsidR="00D8245B">
        <w:rPr>
          <w:rFonts w:ascii="仿宋" w:eastAsia="仿宋" w:hAnsi="仿宋" w:hint="eastAsia"/>
          <w:sz w:val="30"/>
          <w:szCs w:val="30"/>
        </w:rPr>
        <w:t>个在东北，</w:t>
      </w:r>
      <w:r w:rsidR="00D8245B" w:rsidRPr="008E7EB4">
        <w:rPr>
          <w:rFonts w:ascii="仿宋" w:eastAsia="仿宋" w:hAnsi="仿宋" w:hint="eastAsia"/>
          <w:sz w:val="30"/>
          <w:szCs w:val="30"/>
        </w:rPr>
        <w:t>8</w:t>
      </w:r>
      <w:r w:rsidR="00D8245B" w:rsidRPr="008E7EB4">
        <w:rPr>
          <w:rFonts w:ascii="仿宋" w:eastAsia="仿宋" w:hAnsi="仿宋"/>
          <w:sz w:val="30"/>
          <w:szCs w:val="30"/>
        </w:rPr>
        <w:t>5</w:t>
      </w:r>
      <w:r w:rsidR="00D8245B">
        <w:rPr>
          <w:rFonts w:ascii="仿宋" w:eastAsia="仿宋" w:hAnsi="仿宋"/>
          <w:sz w:val="30"/>
          <w:szCs w:val="30"/>
        </w:rPr>
        <w:t>个</w:t>
      </w:r>
      <w:r w:rsidR="00D8245B">
        <w:rPr>
          <w:rFonts w:ascii="仿宋" w:eastAsia="仿宋" w:hAnsi="仿宋" w:hint="eastAsia"/>
          <w:sz w:val="30"/>
          <w:szCs w:val="30"/>
        </w:rPr>
        <w:t>在</w:t>
      </w:r>
      <w:r w:rsidR="00D8245B">
        <w:rPr>
          <w:rFonts w:ascii="仿宋" w:eastAsia="仿宋" w:hAnsi="仿宋"/>
          <w:sz w:val="30"/>
          <w:szCs w:val="30"/>
        </w:rPr>
        <w:t>北方</w:t>
      </w:r>
      <w:r w:rsidR="00D8245B">
        <w:rPr>
          <w:rFonts w:ascii="仿宋" w:eastAsia="仿宋" w:hAnsi="仿宋" w:hint="eastAsia"/>
          <w:sz w:val="30"/>
          <w:szCs w:val="30"/>
        </w:rPr>
        <w:t>地区</w:t>
      </w:r>
      <w:r w:rsidR="00DC19A4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五年间，</w:t>
      </w:r>
      <w:r w:rsidR="00D439A7">
        <w:rPr>
          <w:rFonts w:ascii="仿宋" w:eastAsia="仿宋" w:hAnsi="仿宋" w:hint="eastAsia"/>
          <w:sz w:val="30"/>
          <w:szCs w:val="30"/>
        </w:rPr>
        <w:t>1</w:t>
      </w:r>
      <w:r w:rsidR="00D439A7">
        <w:rPr>
          <w:rFonts w:ascii="仿宋" w:eastAsia="仿宋" w:hAnsi="仿宋"/>
          <w:sz w:val="30"/>
          <w:szCs w:val="30"/>
        </w:rPr>
        <w:t>05</w:t>
      </w:r>
      <w:r w:rsidR="00D439A7">
        <w:rPr>
          <w:rFonts w:ascii="仿宋" w:eastAsia="仿宋" w:hAnsi="仿宋" w:hint="eastAsia"/>
          <w:sz w:val="30"/>
          <w:szCs w:val="30"/>
        </w:rPr>
        <w:t>个</w:t>
      </w:r>
      <w:r>
        <w:rPr>
          <w:rFonts w:ascii="仿宋" w:eastAsia="仿宋" w:hAnsi="仿宋" w:hint="eastAsia"/>
          <w:sz w:val="30"/>
          <w:szCs w:val="30"/>
        </w:rPr>
        <w:t>“双收缩”城市</w:t>
      </w:r>
      <w:r w:rsidR="00632462"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人口份额从2</w:t>
      </w:r>
      <w:r>
        <w:rPr>
          <w:rFonts w:ascii="仿宋" w:eastAsia="仿宋" w:hAnsi="仿宋"/>
          <w:sz w:val="30"/>
          <w:szCs w:val="30"/>
        </w:rPr>
        <w:t>6.8</w:t>
      </w:r>
      <w:r>
        <w:rPr>
          <w:rFonts w:ascii="仿宋" w:eastAsia="仿宋" w:hAnsi="仿宋" w:hint="eastAsia"/>
          <w:sz w:val="30"/>
          <w:szCs w:val="30"/>
        </w:rPr>
        <w:t>%下降到2</w:t>
      </w:r>
      <w:r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%，经济份额</w:t>
      </w:r>
      <w:r w:rsidR="00632462">
        <w:rPr>
          <w:rFonts w:ascii="仿宋" w:eastAsia="仿宋" w:hAnsi="仿宋" w:hint="eastAsia"/>
          <w:sz w:val="30"/>
          <w:szCs w:val="30"/>
        </w:rPr>
        <w:t>从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7.4</w:t>
      </w:r>
      <w:r>
        <w:rPr>
          <w:rFonts w:ascii="仿宋" w:eastAsia="仿宋" w:hAnsi="仿宋" w:hint="eastAsia"/>
          <w:sz w:val="30"/>
          <w:szCs w:val="30"/>
        </w:rPr>
        <w:t>%下降到2</w:t>
      </w:r>
      <w:r>
        <w:rPr>
          <w:rFonts w:ascii="仿宋" w:eastAsia="仿宋" w:hAnsi="仿宋"/>
          <w:sz w:val="30"/>
          <w:szCs w:val="30"/>
        </w:rPr>
        <w:t>2.2</w:t>
      </w:r>
      <w:r>
        <w:rPr>
          <w:rFonts w:ascii="仿宋" w:eastAsia="仿宋" w:hAnsi="仿宋" w:hint="eastAsia"/>
          <w:sz w:val="30"/>
          <w:szCs w:val="30"/>
        </w:rPr>
        <w:t>%，美元计价人均G</w:t>
      </w:r>
      <w:r>
        <w:rPr>
          <w:rFonts w:ascii="仿宋" w:eastAsia="仿宋" w:hAnsi="仿宋"/>
          <w:sz w:val="30"/>
          <w:szCs w:val="30"/>
        </w:rPr>
        <w:t>DP</w:t>
      </w:r>
      <w:r>
        <w:rPr>
          <w:rFonts w:ascii="仿宋" w:eastAsia="仿宋" w:hAnsi="仿宋" w:hint="eastAsia"/>
          <w:sz w:val="30"/>
          <w:szCs w:val="30"/>
        </w:rPr>
        <w:t>年均名义增长</w:t>
      </w:r>
      <w:r w:rsidR="00D02F8E">
        <w:rPr>
          <w:rFonts w:ascii="仿宋" w:eastAsia="仿宋" w:hAnsi="仿宋" w:hint="eastAsia"/>
          <w:sz w:val="30"/>
          <w:szCs w:val="30"/>
        </w:rPr>
        <w:t>仅为</w:t>
      </w:r>
      <w:r>
        <w:rPr>
          <w:rFonts w:ascii="仿宋" w:eastAsia="仿宋" w:hAnsi="仿宋" w:hint="eastAsia"/>
          <w:sz w:val="30"/>
          <w:szCs w:val="30"/>
        </w:rPr>
        <w:lastRenderedPageBreak/>
        <w:t>1</w:t>
      </w:r>
      <w:r>
        <w:rPr>
          <w:rFonts w:ascii="仿宋" w:eastAsia="仿宋" w:hAnsi="仿宋"/>
          <w:sz w:val="30"/>
          <w:szCs w:val="30"/>
        </w:rPr>
        <w:t>.8</w:t>
      </w:r>
      <w:r>
        <w:rPr>
          <w:rFonts w:ascii="仿宋" w:eastAsia="仿宋" w:hAnsi="仿宋" w:hint="eastAsia"/>
          <w:sz w:val="30"/>
          <w:szCs w:val="30"/>
        </w:rPr>
        <w:t>%。</w:t>
      </w:r>
      <w:r w:rsidR="0027443A">
        <w:rPr>
          <w:rFonts w:ascii="仿宋" w:eastAsia="仿宋" w:hAnsi="仿宋" w:hint="eastAsia"/>
          <w:sz w:val="30"/>
          <w:szCs w:val="30"/>
        </w:rPr>
        <w:t>随着我国</w:t>
      </w:r>
      <w:r w:rsidR="00C46773">
        <w:rPr>
          <w:rFonts w:ascii="仿宋" w:eastAsia="仿宋" w:hAnsi="仿宋" w:hint="eastAsia"/>
          <w:sz w:val="30"/>
          <w:szCs w:val="30"/>
        </w:rPr>
        <w:t>人口拐点不断临近和</w:t>
      </w:r>
      <w:r w:rsidR="00D0763A">
        <w:rPr>
          <w:rFonts w:ascii="仿宋" w:eastAsia="仿宋" w:hAnsi="仿宋" w:hint="eastAsia"/>
          <w:sz w:val="30"/>
          <w:szCs w:val="30"/>
        </w:rPr>
        <w:t>经济转向中速增长</w:t>
      </w:r>
      <w:r w:rsidR="00365F89">
        <w:rPr>
          <w:rFonts w:ascii="仿宋" w:eastAsia="仿宋" w:hAnsi="仿宋" w:hint="eastAsia"/>
          <w:sz w:val="30"/>
          <w:szCs w:val="30"/>
        </w:rPr>
        <w:t>，</w:t>
      </w:r>
      <w:r w:rsidR="00D26A69">
        <w:rPr>
          <w:rFonts w:ascii="仿宋" w:eastAsia="仿宋" w:hAnsi="仿宋" w:hint="eastAsia"/>
          <w:sz w:val="30"/>
          <w:szCs w:val="30"/>
        </w:rPr>
        <w:t>各地已经提前开始</w:t>
      </w:r>
      <w:r w:rsidR="009804C5">
        <w:rPr>
          <w:rFonts w:ascii="仿宋" w:eastAsia="仿宋" w:hAnsi="仿宋" w:hint="eastAsia"/>
          <w:sz w:val="30"/>
          <w:szCs w:val="30"/>
        </w:rPr>
        <w:t>人才人口争夺战</w:t>
      </w:r>
      <w:r w:rsidR="00C46773">
        <w:rPr>
          <w:rFonts w:ascii="仿宋" w:eastAsia="仿宋" w:hAnsi="仿宋" w:hint="eastAsia"/>
          <w:sz w:val="30"/>
          <w:szCs w:val="30"/>
        </w:rPr>
        <w:t>，大中小城市</w:t>
      </w:r>
      <w:r w:rsidR="00C20BF0">
        <w:rPr>
          <w:rFonts w:ascii="仿宋" w:eastAsia="仿宋" w:hAnsi="仿宋" w:hint="eastAsia"/>
          <w:sz w:val="30"/>
          <w:szCs w:val="30"/>
        </w:rPr>
        <w:t>规模</w:t>
      </w:r>
      <w:r w:rsidR="00C46773">
        <w:rPr>
          <w:rFonts w:ascii="仿宋" w:eastAsia="仿宋" w:hAnsi="仿宋" w:hint="eastAsia"/>
          <w:sz w:val="30"/>
          <w:szCs w:val="30"/>
        </w:rPr>
        <w:t>普</w:t>
      </w:r>
      <w:proofErr w:type="gramStart"/>
      <w:r w:rsidR="00C46773">
        <w:rPr>
          <w:rFonts w:ascii="仿宋" w:eastAsia="仿宋" w:hAnsi="仿宋" w:hint="eastAsia"/>
          <w:sz w:val="30"/>
          <w:szCs w:val="30"/>
        </w:rPr>
        <w:t>涨时代</w:t>
      </w:r>
      <w:proofErr w:type="gramEnd"/>
      <w:r w:rsidR="00C46773">
        <w:rPr>
          <w:rFonts w:ascii="仿宋" w:eastAsia="仿宋" w:hAnsi="仿宋" w:hint="eastAsia"/>
          <w:sz w:val="30"/>
          <w:szCs w:val="30"/>
        </w:rPr>
        <w:t>基本结束</w:t>
      </w:r>
      <w:r w:rsidR="0027443A">
        <w:rPr>
          <w:rFonts w:ascii="仿宋" w:eastAsia="仿宋" w:hAnsi="仿宋" w:hint="eastAsia"/>
          <w:sz w:val="30"/>
          <w:szCs w:val="30"/>
        </w:rPr>
        <w:t>。</w:t>
      </w:r>
      <w:r w:rsidR="00E21BEB" w:rsidRPr="00D439A7">
        <w:rPr>
          <w:rFonts w:ascii="黑体" w:eastAsia="黑体" w:hAnsi="黑体" w:hint="eastAsia"/>
          <w:sz w:val="30"/>
          <w:szCs w:val="30"/>
        </w:rPr>
        <w:t>“十四五”时期</w:t>
      </w:r>
      <w:r w:rsidR="0027443A" w:rsidRPr="00D439A7">
        <w:rPr>
          <w:rFonts w:ascii="黑体" w:eastAsia="黑体" w:hAnsi="黑体" w:hint="eastAsia"/>
          <w:sz w:val="30"/>
          <w:szCs w:val="30"/>
        </w:rPr>
        <w:t>，“双收缩”城市的范围或进一步扩大，</w:t>
      </w:r>
      <w:r w:rsidR="00E21BEB" w:rsidRPr="00D439A7">
        <w:rPr>
          <w:rFonts w:ascii="黑体" w:eastAsia="黑体" w:hAnsi="黑体" w:hint="eastAsia"/>
          <w:sz w:val="30"/>
          <w:szCs w:val="30"/>
        </w:rPr>
        <w:t>特别是</w:t>
      </w:r>
      <w:r w:rsidR="001C431F" w:rsidRPr="00D439A7">
        <w:rPr>
          <w:rFonts w:ascii="黑体" w:eastAsia="黑体" w:hAnsi="黑体" w:hint="eastAsia"/>
          <w:sz w:val="30"/>
          <w:szCs w:val="30"/>
        </w:rPr>
        <w:t>经济</w:t>
      </w:r>
      <w:r w:rsidR="00D26A69" w:rsidRPr="00D439A7">
        <w:rPr>
          <w:rFonts w:ascii="黑体" w:eastAsia="黑体" w:hAnsi="黑体" w:hint="eastAsia"/>
          <w:sz w:val="30"/>
          <w:szCs w:val="30"/>
        </w:rPr>
        <w:t>增长乏力的</w:t>
      </w:r>
      <w:r w:rsidR="00E21BEB" w:rsidRPr="00D439A7">
        <w:rPr>
          <w:rFonts w:ascii="黑体" w:eastAsia="黑体" w:hAnsi="黑体" w:hint="eastAsia"/>
          <w:sz w:val="30"/>
          <w:szCs w:val="30"/>
        </w:rPr>
        <w:t>北方城市和</w:t>
      </w:r>
      <w:r w:rsidR="007C696A" w:rsidRPr="00D439A7">
        <w:rPr>
          <w:rFonts w:ascii="黑体" w:eastAsia="黑体" w:hAnsi="黑体" w:hint="eastAsia"/>
          <w:sz w:val="30"/>
          <w:szCs w:val="30"/>
        </w:rPr>
        <w:t>远离消费中心的</w:t>
      </w:r>
      <w:r w:rsidR="00E21BEB" w:rsidRPr="00D439A7">
        <w:rPr>
          <w:rFonts w:ascii="黑体" w:eastAsia="黑体" w:hAnsi="黑体" w:hint="eastAsia"/>
          <w:sz w:val="30"/>
          <w:szCs w:val="30"/>
        </w:rPr>
        <w:t>西部中小城市，</w:t>
      </w:r>
      <w:r w:rsidR="00DE1B8F" w:rsidRPr="00D439A7">
        <w:rPr>
          <w:rFonts w:ascii="黑体" w:eastAsia="黑体" w:hAnsi="黑体" w:hint="eastAsia"/>
          <w:sz w:val="30"/>
          <w:szCs w:val="30"/>
        </w:rPr>
        <w:t>在各地存量争夺日趋激烈的背景下，</w:t>
      </w:r>
      <w:r w:rsidR="00C46773" w:rsidRPr="00D439A7">
        <w:rPr>
          <w:rFonts w:ascii="黑体" w:eastAsia="黑体" w:hAnsi="黑体" w:hint="eastAsia"/>
          <w:sz w:val="30"/>
          <w:szCs w:val="30"/>
        </w:rPr>
        <w:t>将面临</w:t>
      </w:r>
      <w:r w:rsidR="00F74DA0">
        <w:rPr>
          <w:rFonts w:ascii="黑体" w:eastAsia="黑体" w:hAnsi="黑体" w:hint="eastAsia"/>
          <w:sz w:val="30"/>
          <w:szCs w:val="30"/>
        </w:rPr>
        <w:t>人口资金外流、</w:t>
      </w:r>
      <w:r w:rsidR="00D26A69" w:rsidRPr="00D439A7">
        <w:rPr>
          <w:rFonts w:ascii="黑体" w:eastAsia="黑体" w:hAnsi="黑体" w:hint="eastAsia"/>
          <w:sz w:val="30"/>
          <w:szCs w:val="30"/>
        </w:rPr>
        <w:t>城镇化</w:t>
      </w:r>
      <w:r w:rsidR="00365F89" w:rsidRPr="00D439A7">
        <w:rPr>
          <w:rFonts w:ascii="黑体" w:eastAsia="黑体" w:hAnsi="黑体" w:hint="eastAsia"/>
          <w:sz w:val="30"/>
          <w:szCs w:val="30"/>
        </w:rPr>
        <w:t>动力不足</w:t>
      </w:r>
      <w:r w:rsidR="00F23EDA" w:rsidRPr="00D439A7">
        <w:rPr>
          <w:rFonts w:ascii="黑体" w:eastAsia="黑体" w:hAnsi="黑体" w:hint="eastAsia"/>
          <w:sz w:val="30"/>
          <w:szCs w:val="30"/>
        </w:rPr>
        <w:t>、扩大</w:t>
      </w:r>
      <w:r w:rsidR="00365F89" w:rsidRPr="00D439A7">
        <w:rPr>
          <w:rFonts w:ascii="黑体" w:eastAsia="黑体" w:hAnsi="黑体" w:hint="eastAsia"/>
          <w:sz w:val="30"/>
          <w:szCs w:val="30"/>
        </w:rPr>
        <w:t>内需空间有限</w:t>
      </w:r>
      <w:r w:rsidR="00C46773" w:rsidRPr="00D439A7">
        <w:rPr>
          <w:rFonts w:ascii="黑体" w:eastAsia="黑体" w:hAnsi="黑体" w:hint="eastAsia"/>
          <w:sz w:val="30"/>
          <w:szCs w:val="30"/>
        </w:rPr>
        <w:t>的新挑战。</w:t>
      </w:r>
    </w:p>
    <w:p w:rsidR="0079777E" w:rsidRDefault="0027443A" w:rsidP="0079777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36DCC741" wp14:editId="2B183F31">
            <wp:extent cx="4582493" cy="2702349"/>
            <wp:effectExtent l="0" t="0" r="8890" b="317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777E" w:rsidRDefault="0079777E" w:rsidP="0079777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图</w:t>
      </w:r>
      <w:r w:rsidR="008460F7">
        <w:rPr>
          <w:rFonts w:ascii="黑体" w:eastAsia="黑体" w:hAnsi="黑体"/>
          <w:sz w:val="24"/>
          <w:szCs w:val="24"/>
        </w:rPr>
        <w:t>4</w:t>
      </w:r>
      <w:r w:rsidRPr="00BF0F4A">
        <w:rPr>
          <w:rFonts w:ascii="黑体" w:eastAsia="黑体" w:hAnsi="黑体"/>
          <w:sz w:val="24"/>
          <w:szCs w:val="24"/>
        </w:rPr>
        <w:t xml:space="preserve"> </w:t>
      </w:r>
      <w:r w:rsidRPr="00D84D25">
        <w:rPr>
          <w:rFonts w:ascii="黑体" w:eastAsia="黑体" w:hAnsi="黑体"/>
          <w:sz w:val="24"/>
          <w:szCs w:val="24"/>
        </w:rPr>
        <w:t>105个“双收缩”城市</w:t>
      </w:r>
      <w:r>
        <w:rPr>
          <w:rFonts w:ascii="黑体" w:eastAsia="黑体" w:hAnsi="黑体" w:hint="eastAsia"/>
          <w:sz w:val="24"/>
          <w:szCs w:val="24"/>
        </w:rPr>
        <w:t>和全国其他城市人均G</w:t>
      </w:r>
      <w:r>
        <w:rPr>
          <w:rFonts w:ascii="黑体" w:eastAsia="黑体" w:hAnsi="黑体"/>
          <w:sz w:val="24"/>
          <w:szCs w:val="24"/>
        </w:rPr>
        <w:t>DP</w:t>
      </w:r>
    </w:p>
    <w:p w:rsidR="0079777E" w:rsidRDefault="0079777E" w:rsidP="0079777E">
      <w:pPr>
        <w:adjustRightInd w:val="0"/>
        <w:snapToGrid w:val="0"/>
        <w:spacing w:line="30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数据</w:t>
      </w:r>
      <w:r w:rsidRPr="00BF0F4A">
        <w:rPr>
          <w:rFonts w:ascii="楷体" w:eastAsia="楷体" w:hAnsi="楷体" w:hint="eastAsia"/>
        </w:rPr>
        <w:t>来源：</w:t>
      </w:r>
      <w:r>
        <w:rPr>
          <w:rFonts w:ascii="楷体" w:eastAsia="楷体" w:hAnsi="楷体"/>
        </w:rPr>
        <w:t>W</w:t>
      </w:r>
      <w:r w:rsidRPr="00BF0F4A">
        <w:rPr>
          <w:rFonts w:ascii="楷体" w:eastAsia="楷体" w:hAnsi="楷体"/>
        </w:rPr>
        <w:t>ind</w:t>
      </w:r>
      <w:r w:rsidRPr="00BF0F4A">
        <w:rPr>
          <w:rFonts w:ascii="楷体" w:eastAsia="楷体" w:hAnsi="楷体" w:hint="eastAsia"/>
        </w:rPr>
        <w:t>。</w:t>
      </w:r>
    </w:p>
    <w:p w:rsidR="000431CC" w:rsidRDefault="000431CC" w:rsidP="00AC3896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67400E" w:rsidRDefault="0067400E" w:rsidP="0067400E">
      <w:pPr>
        <w:pStyle w:val="2"/>
        <w:spacing w:before="0" w:after="0" w:line="360" w:lineRule="auto"/>
        <w:ind w:firstLine="602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（二）中西部地区地方债务风险不断暴露</w:t>
      </w:r>
    </w:p>
    <w:p w:rsidR="0067400E" w:rsidRDefault="009A6C94" w:rsidP="00945BFB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我国</w:t>
      </w:r>
      <w:r w:rsidR="0067400E">
        <w:rPr>
          <w:rFonts w:ascii="仿宋" w:eastAsia="仿宋" w:hAnsi="仿宋" w:hint="eastAsia"/>
          <w:sz w:val="30"/>
          <w:szCs w:val="30"/>
        </w:rPr>
        <w:t>中西部</w:t>
      </w:r>
      <w:r w:rsidR="00D30F36">
        <w:rPr>
          <w:rFonts w:ascii="仿宋" w:eastAsia="仿宋" w:hAnsi="仿宋" w:hint="eastAsia"/>
          <w:sz w:val="30"/>
          <w:szCs w:val="30"/>
        </w:rPr>
        <w:t>许多</w:t>
      </w:r>
      <w:r w:rsidR="0067400E">
        <w:rPr>
          <w:rFonts w:ascii="仿宋" w:eastAsia="仿宋" w:hAnsi="仿宋" w:hint="eastAsia"/>
          <w:sz w:val="30"/>
          <w:szCs w:val="30"/>
        </w:rPr>
        <w:t>省份如湖北、</w:t>
      </w:r>
      <w:r w:rsidR="0067400E" w:rsidRPr="00BD74F6">
        <w:rPr>
          <w:rFonts w:ascii="仿宋" w:eastAsia="仿宋" w:hAnsi="仿宋" w:hint="eastAsia"/>
          <w:sz w:val="30"/>
          <w:szCs w:val="30"/>
        </w:rPr>
        <w:t>湖南</w:t>
      </w:r>
      <w:r w:rsidR="0067400E">
        <w:rPr>
          <w:rFonts w:ascii="仿宋" w:eastAsia="仿宋" w:hAnsi="仿宋" w:hint="eastAsia"/>
          <w:sz w:val="30"/>
          <w:szCs w:val="30"/>
        </w:rPr>
        <w:t>、河南、贵州、宁夏、内蒙古</w:t>
      </w:r>
      <w:r w:rsidR="00D30F36">
        <w:rPr>
          <w:rFonts w:ascii="仿宋" w:eastAsia="仿宋" w:hAnsi="仿宋" w:hint="eastAsia"/>
          <w:sz w:val="30"/>
          <w:szCs w:val="30"/>
        </w:rPr>
        <w:t>等</w:t>
      </w:r>
      <w:r w:rsidR="0067400E">
        <w:rPr>
          <w:rFonts w:ascii="仿宋" w:eastAsia="仿宋" w:hAnsi="仿宋" w:hint="eastAsia"/>
          <w:sz w:val="30"/>
          <w:szCs w:val="30"/>
        </w:rPr>
        <w:t>普遍存在投资率</w:t>
      </w:r>
      <w:r w:rsidR="00964774">
        <w:rPr>
          <w:rFonts w:ascii="仿宋" w:eastAsia="仿宋" w:hAnsi="仿宋" w:hint="eastAsia"/>
          <w:sz w:val="30"/>
          <w:szCs w:val="30"/>
        </w:rPr>
        <w:t>高企</w:t>
      </w:r>
      <w:r w:rsidR="0067400E">
        <w:rPr>
          <w:rFonts w:ascii="仿宋" w:eastAsia="仿宋" w:hAnsi="仿宋" w:hint="eastAsia"/>
          <w:sz w:val="30"/>
          <w:szCs w:val="30"/>
        </w:rPr>
        <w:t>，部分地方债务负担较重、个别市县财政支出压力较大、部分</w:t>
      </w:r>
      <w:r w:rsidR="0067400E" w:rsidRPr="009931F8">
        <w:rPr>
          <w:rFonts w:ascii="仿宋" w:eastAsia="仿宋" w:hAnsi="仿宋" w:hint="eastAsia"/>
          <w:sz w:val="30"/>
          <w:szCs w:val="30"/>
        </w:rPr>
        <w:t>债券违约风险较高</w:t>
      </w:r>
      <w:r>
        <w:rPr>
          <w:rFonts w:ascii="仿宋" w:eastAsia="仿宋" w:hAnsi="仿宋" w:hint="eastAsia"/>
          <w:sz w:val="30"/>
          <w:szCs w:val="30"/>
        </w:rPr>
        <w:t>等问题</w:t>
      </w:r>
      <w:r w:rsidR="005A4068">
        <w:rPr>
          <w:rFonts w:ascii="仿宋" w:eastAsia="仿宋" w:hAnsi="仿宋" w:hint="eastAsia"/>
          <w:sz w:val="30"/>
          <w:szCs w:val="30"/>
        </w:rPr>
        <w:t>，同时</w:t>
      </w:r>
      <w:r w:rsidR="00964774">
        <w:rPr>
          <w:rFonts w:ascii="仿宋" w:eastAsia="仿宋" w:hAnsi="仿宋" w:hint="eastAsia"/>
          <w:sz w:val="30"/>
          <w:szCs w:val="30"/>
        </w:rPr>
        <w:t>由于人口老龄化和青年劳动力外流，</w:t>
      </w:r>
      <w:r w:rsidR="001F2157">
        <w:rPr>
          <w:rFonts w:ascii="仿宋" w:eastAsia="仿宋" w:hAnsi="仿宋" w:hint="eastAsia"/>
          <w:sz w:val="30"/>
          <w:szCs w:val="30"/>
        </w:rPr>
        <w:t>青海、内蒙古、陕西、湖北、江西等中西部省份</w:t>
      </w:r>
      <w:r w:rsidR="000B0AD1">
        <w:rPr>
          <w:rFonts w:ascii="仿宋" w:eastAsia="仿宋" w:hAnsi="仿宋" w:hint="eastAsia"/>
          <w:sz w:val="30"/>
          <w:szCs w:val="30"/>
        </w:rPr>
        <w:t>企业</w:t>
      </w:r>
      <w:r w:rsidR="001F2157">
        <w:rPr>
          <w:rFonts w:ascii="仿宋" w:eastAsia="仿宋" w:hAnsi="仿宋" w:hint="eastAsia"/>
          <w:sz w:val="30"/>
          <w:szCs w:val="30"/>
        </w:rPr>
        <w:t>养老金收支压力</w:t>
      </w:r>
      <w:r w:rsidR="00964774">
        <w:rPr>
          <w:rFonts w:ascii="仿宋" w:eastAsia="仿宋" w:hAnsi="仿宋" w:hint="eastAsia"/>
          <w:sz w:val="30"/>
          <w:szCs w:val="30"/>
        </w:rPr>
        <w:t>不断</w:t>
      </w:r>
      <w:r w:rsidR="001F2157">
        <w:rPr>
          <w:rFonts w:ascii="仿宋" w:eastAsia="仿宋" w:hAnsi="仿宋" w:hint="eastAsia"/>
          <w:sz w:val="30"/>
          <w:szCs w:val="30"/>
        </w:rPr>
        <w:t>加</w:t>
      </w:r>
      <w:r w:rsidR="005A4068">
        <w:rPr>
          <w:rFonts w:ascii="仿宋" w:eastAsia="仿宋" w:hAnsi="仿宋" w:hint="eastAsia"/>
          <w:sz w:val="30"/>
          <w:szCs w:val="30"/>
        </w:rPr>
        <w:t>大</w:t>
      </w:r>
      <w:r w:rsidR="000B0AD1">
        <w:rPr>
          <w:rFonts w:ascii="仿宋" w:eastAsia="仿宋" w:hAnsi="仿宋" w:hint="eastAsia"/>
          <w:sz w:val="30"/>
          <w:szCs w:val="30"/>
        </w:rPr>
        <w:t>，可支付</w:t>
      </w:r>
      <w:r w:rsidR="00DC5E7C">
        <w:rPr>
          <w:rFonts w:ascii="仿宋" w:eastAsia="仿宋" w:hAnsi="仿宋" w:hint="eastAsia"/>
          <w:sz w:val="30"/>
          <w:szCs w:val="30"/>
        </w:rPr>
        <w:t>月数</w:t>
      </w:r>
      <w:r w:rsidR="007231C4">
        <w:rPr>
          <w:rFonts w:ascii="仿宋" w:eastAsia="仿宋" w:hAnsi="仿宋" w:hint="eastAsia"/>
          <w:sz w:val="30"/>
          <w:szCs w:val="30"/>
        </w:rPr>
        <w:t>已不及一年</w:t>
      </w:r>
      <w:r w:rsidR="005A4068">
        <w:rPr>
          <w:rFonts w:ascii="仿宋" w:eastAsia="仿宋" w:hAnsi="仿宋" w:hint="eastAsia"/>
          <w:sz w:val="30"/>
          <w:szCs w:val="30"/>
        </w:rPr>
        <w:t>。在国家</w:t>
      </w:r>
      <w:r w:rsidR="007231C4" w:rsidRPr="007231C4">
        <w:rPr>
          <w:rFonts w:ascii="仿宋" w:eastAsia="仿宋" w:hAnsi="仿宋" w:hint="eastAsia"/>
          <w:sz w:val="30"/>
          <w:szCs w:val="30"/>
        </w:rPr>
        <w:t>防范化解重大风险攻坚战</w:t>
      </w:r>
      <w:r w:rsidR="005A4068">
        <w:rPr>
          <w:rFonts w:ascii="仿宋" w:eastAsia="仿宋" w:hAnsi="仿宋" w:hint="eastAsia"/>
          <w:sz w:val="30"/>
          <w:szCs w:val="30"/>
        </w:rPr>
        <w:t>背景下，中西部地方投融资能力受到抑制，能够</w:t>
      </w:r>
      <w:r w:rsidR="00DC5E7C">
        <w:rPr>
          <w:rFonts w:ascii="仿宋" w:eastAsia="仿宋" w:hAnsi="仿宋" w:hint="eastAsia"/>
          <w:sz w:val="30"/>
          <w:szCs w:val="30"/>
        </w:rPr>
        <w:t>自主用于实施地方投资</w:t>
      </w:r>
      <w:r w:rsidR="005A4068">
        <w:rPr>
          <w:rFonts w:ascii="仿宋" w:eastAsia="仿宋" w:hAnsi="仿宋" w:hint="eastAsia"/>
          <w:sz w:val="30"/>
          <w:szCs w:val="30"/>
        </w:rPr>
        <w:t>的财政资金减少</w:t>
      </w:r>
      <w:r w:rsidR="000B0AD1">
        <w:rPr>
          <w:rFonts w:ascii="仿宋" w:eastAsia="仿宋" w:hAnsi="仿宋" w:hint="eastAsia"/>
          <w:sz w:val="30"/>
          <w:szCs w:val="30"/>
        </w:rPr>
        <w:t>，</w:t>
      </w:r>
      <w:r w:rsidR="00DC5E7C" w:rsidRPr="000B0AD1">
        <w:rPr>
          <w:rFonts w:ascii="仿宋" w:eastAsia="仿宋" w:hAnsi="仿宋" w:hint="eastAsia"/>
          <w:sz w:val="30"/>
          <w:szCs w:val="30"/>
        </w:rPr>
        <w:lastRenderedPageBreak/>
        <w:t>中央投资的地方资金配套能力下降</w:t>
      </w:r>
      <w:r w:rsidR="005A4068">
        <w:rPr>
          <w:rFonts w:ascii="仿宋" w:eastAsia="仿宋" w:hAnsi="仿宋" w:hint="eastAsia"/>
          <w:sz w:val="30"/>
          <w:szCs w:val="30"/>
        </w:rPr>
        <w:t>。</w:t>
      </w:r>
      <w:r w:rsidR="001F2157" w:rsidRPr="00D439A7">
        <w:rPr>
          <w:rFonts w:ascii="黑体" w:eastAsia="黑体" w:hAnsi="黑体" w:hint="eastAsia"/>
          <w:sz w:val="30"/>
          <w:szCs w:val="30"/>
        </w:rPr>
        <w:t>“十四五”时期，</w:t>
      </w:r>
      <w:r w:rsidR="00C63BE2" w:rsidRPr="00C63BE2">
        <w:rPr>
          <w:rFonts w:ascii="黑体" w:eastAsia="黑体" w:hAnsi="黑体" w:hint="eastAsia"/>
          <w:sz w:val="30"/>
          <w:szCs w:val="30"/>
        </w:rPr>
        <w:t>中西部地区债务风险不断暴露</w:t>
      </w:r>
      <w:r w:rsidR="00C63BE2">
        <w:rPr>
          <w:rFonts w:ascii="黑体" w:eastAsia="黑体" w:hAnsi="黑体" w:hint="eastAsia"/>
          <w:sz w:val="30"/>
          <w:szCs w:val="30"/>
        </w:rPr>
        <w:t>，一些高度负债的地级市</w:t>
      </w:r>
      <w:r w:rsidR="00945BFB">
        <w:rPr>
          <w:rFonts w:ascii="黑体" w:eastAsia="黑体" w:hAnsi="黑体" w:hint="eastAsia"/>
          <w:sz w:val="30"/>
          <w:szCs w:val="30"/>
        </w:rPr>
        <w:t>在缺少上级转移支付情况下，</w:t>
      </w:r>
      <w:r w:rsidR="00C63BE2">
        <w:rPr>
          <w:rFonts w:ascii="黑体" w:eastAsia="黑体" w:hAnsi="黑体" w:hint="eastAsia"/>
          <w:sz w:val="30"/>
          <w:szCs w:val="30"/>
        </w:rPr>
        <w:t>或面临财政停摆风险，</w:t>
      </w:r>
      <w:r w:rsidR="001F2157" w:rsidRPr="00D439A7">
        <w:rPr>
          <w:rFonts w:ascii="黑体" w:eastAsia="黑体" w:hAnsi="黑体" w:hint="eastAsia"/>
          <w:sz w:val="30"/>
          <w:szCs w:val="30"/>
        </w:rPr>
        <w:t>扩大</w:t>
      </w:r>
      <w:r w:rsidR="00945BFB">
        <w:rPr>
          <w:rFonts w:ascii="黑体" w:eastAsia="黑体" w:hAnsi="黑体" w:hint="eastAsia"/>
          <w:sz w:val="30"/>
          <w:szCs w:val="30"/>
        </w:rPr>
        <w:t>中西部投资面临</w:t>
      </w:r>
      <w:r w:rsidR="00DC5E7C">
        <w:rPr>
          <w:rFonts w:ascii="黑体" w:eastAsia="黑体" w:hAnsi="黑体" w:hint="eastAsia"/>
          <w:sz w:val="30"/>
          <w:szCs w:val="30"/>
        </w:rPr>
        <w:t>地方</w:t>
      </w:r>
      <w:r w:rsidR="00945BFB">
        <w:rPr>
          <w:rFonts w:ascii="黑体" w:eastAsia="黑体" w:hAnsi="黑体" w:hint="eastAsia"/>
          <w:sz w:val="30"/>
          <w:szCs w:val="30"/>
        </w:rPr>
        <w:t>资金</w:t>
      </w:r>
      <w:r w:rsidR="00DC5E7C">
        <w:rPr>
          <w:rFonts w:ascii="黑体" w:eastAsia="黑体" w:hAnsi="黑体" w:hint="eastAsia"/>
          <w:sz w:val="30"/>
          <w:szCs w:val="30"/>
        </w:rPr>
        <w:t>紧张</w:t>
      </w:r>
      <w:r w:rsidR="001F2157" w:rsidRPr="00D439A7">
        <w:rPr>
          <w:rFonts w:ascii="黑体" w:eastAsia="黑体" w:hAnsi="黑体" w:hint="eastAsia"/>
          <w:sz w:val="30"/>
          <w:szCs w:val="30"/>
        </w:rPr>
        <w:t>的新挑战。</w:t>
      </w:r>
    </w:p>
    <w:p w:rsidR="00625100" w:rsidRPr="006B6952" w:rsidRDefault="00625100" w:rsidP="00625100">
      <w:pPr>
        <w:pStyle w:val="2"/>
        <w:spacing w:before="0" w:after="0" w:line="360" w:lineRule="auto"/>
        <w:ind w:firstLine="602"/>
        <w:rPr>
          <w:rFonts w:ascii="楷体_GB2312" w:eastAsia="楷体_GB2312" w:hAnsi="楷体"/>
          <w:sz w:val="30"/>
          <w:szCs w:val="30"/>
        </w:rPr>
      </w:pPr>
      <w:r w:rsidRPr="008E5E5C">
        <w:rPr>
          <w:rFonts w:ascii="楷体_GB2312" w:eastAsia="楷体_GB2312" w:hAnsi="楷体" w:hint="eastAsia"/>
          <w:sz w:val="30"/>
          <w:szCs w:val="30"/>
        </w:rPr>
        <w:t>（</w:t>
      </w:r>
      <w:r w:rsidR="0067400E">
        <w:rPr>
          <w:rFonts w:ascii="楷体_GB2312" w:eastAsia="楷体_GB2312" w:hAnsi="楷体" w:hint="eastAsia"/>
          <w:sz w:val="30"/>
          <w:szCs w:val="30"/>
        </w:rPr>
        <w:t>三</w:t>
      </w:r>
      <w:r w:rsidRPr="008E5E5C">
        <w:rPr>
          <w:rFonts w:ascii="楷体_GB2312" w:eastAsia="楷体_GB2312" w:hAnsi="楷体" w:hint="eastAsia"/>
          <w:sz w:val="30"/>
          <w:szCs w:val="30"/>
        </w:rPr>
        <w:t>）</w:t>
      </w:r>
      <w:r w:rsidRPr="00164A59">
        <w:rPr>
          <w:rFonts w:ascii="楷体_GB2312" w:eastAsia="楷体_GB2312" w:hAnsi="楷体" w:hint="eastAsia"/>
          <w:sz w:val="30"/>
          <w:szCs w:val="30"/>
        </w:rPr>
        <w:t>东部沿海</w:t>
      </w:r>
      <w:r>
        <w:rPr>
          <w:rFonts w:ascii="楷体_GB2312" w:eastAsia="楷体_GB2312" w:hAnsi="楷体" w:hint="eastAsia"/>
          <w:sz w:val="30"/>
          <w:szCs w:val="30"/>
        </w:rPr>
        <w:t>消费需求正在滑向中速增长</w:t>
      </w:r>
    </w:p>
    <w:p w:rsidR="00625100" w:rsidRPr="00D439A7" w:rsidRDefault="005B2CDC" w:rsidP="00225DBE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京津冀地区外来</w:t>
      </w:r>
      <w:r w:rsidR="00E966DE">
        <w:rPr>
          <w:rFonts w:ascii="仿宋" w:eastAsia="仿宋" w:hAnsi="仿宋" w:hint="eastAsia"/>
          <w:sz w:val="30"/>
          <w:szCs w:val="30"/>
        </w:rPr>
        <w:t>人口</w:t>
      </w:r>
      <w:r w:rsidR="003447F5">
        <w:rPr>
          <w:rFonts w:ascii="仿宋" w:eastAsia="仿宋" w:hAnsi="仿宋" w:hint="eastAsia"/>
          <w:sz w:val="30"/>
          <w:szCs w:val="30"/>
        </w:rPr>
        <w:t>持续</w:t>
      </w:r>
      <w:r w:rsidR="00D439A7">
        <w:rPr>
          <w:rFonts w:ascii="仿宋" w:eastAsia="仿宋" w:hAnsi="仿宋" w:hint="eastAsia"/>
          <w:sz w:val="30"/>
          <w:szCs w:val="30"/>
        </w:rPr>
        <w:t>三年</w:t>
      </w:r>
      <w:r w:rsidR="00EF4754">
        <w:rPr>
          <w:rFonts w:ascii="仿宋" w:eastAsia="仿宋" w:hAnsi="仿宋" w:hint="eastAsia"/>
          <w:sz w:val="30"/>
          <w:szCs w:val="30"/>
        </w:rPr>
        <w:t>减少</w:t>
      </w:r>
      <w:r w:rsidR="00E966DE">
        <w:rPr>
          <w:rFonts w:ascii="仿宋" w:eastAsia="仿宋" w:hAnsi="仿宋" w:hint="eastAsia"/>
          <w:sz w:val="30"/>
          <w:szCs w:val="30"/>
        </w:rPr>
        <w:t>，社会流动性下降，收入分配格局固化</w:t>
      </w:r>
      <w:r>
        <w:rPr>
          <w:rFonts w:ascii="仿宋" w:eastAsia="仿宋" w:hAnsi="仿宋" w:hint="eastAsia"/>
          <w:sz w:val="30"/>
          <w:szCs w:val="30"/>
        </w:rPr>
        <w:t>风险</w:t>
      </w:r>
      <w:r w:rsidR="000C03BC">
        <w:rPr>
          <w:rFonts w:ascii="仿宋" w:eastAsia="仿宋" w:hAnsi="仿宋" w:hint="eastAsia"/>
          <w:sz w:val="30"/>
          <w:szCs w:val="30"/>
        </w:rPr>
        <w:t>加大</w:t>
      </w:r>
      <w:r w:rsidR="00EF4754">
        <w:rPr>
          <w:rFonts w:ascii="仿宋" w:eastAsia="仿宋" w:hAnsi="仿宋" w:hint="eastAsia"/>
          <w:sz w:val="30"/>
          <w:szCs w:val="30"/>
        </w:rPr>
        <w:t>，全社会边际消费倾向</w:t>
      </w:r>
      <w:r w:rsidR="006C5E79">
        <w:rPr>
          <w:rFonts w:ascii="仿宋" w:eastAsia="仿宋" w:hAnsi="仿宋" w:hint="eastAsia"/>
          <w:sz w:val="30"/>
          <w:szCs w:val="30"/>
        </w:rPr>
        <w:t>趋于</w:t>
      </w:r>
      <w:r w:rsidR="007D7A97">
        <w:rPr>
          <w:rFonts w:ascii="仿宋" w:eastAsia="仿宋" w:hAnsi="仿宋" w:hint="eastAsia"/>
          <w:sz w:val="30"/>
          <w:szCs w:val="30"/>
        </w:rPr>
        <w:t>降低</w:t>
      </w:r>
      <w:r>
        <w:rPr>
          <w:rFonts w:ascii="仿宋" w:eastAsia="仿宋" w:hAnsi="仿宋" w:hint="eastAsia"/>
          <w:sz w:val="30"/>
          <w:szCs w:val="30"/>
        </w:rPr>
        <w:t>。长三角地区人口老龄化加剧，</w:t>
      </w:r>
      <w:r w:rsidR="000C03BC" w:rsidRPr="000C03BC">
        <w:rPr>
          <w:rFonts w:ascii="仿宋" w:eastAsia="仿宋" w:hAnsi="仿宋" w:hint="eastAsia"/>
          <w:sz w:val="30"/>
          <w:szCs w:val="30"/>
        </w:rPr>
        <w:t>人口流入持续放缓</w:t>
      </w:r>
      <w:r w:rsidR="000C03BC">
        <w:rPr>
          <w:rFonts w:ascii="仿宋" w:eastAsia="仿宋" w:hAnsi="仿宋" w:hint="eastAsia"/>
          <w:sz w:val="30"/>
          <w:szCs w:val="30"/>
        </w:rPr>
        <w:t>，</w:t>
      </w:r>
      <w:r w:rsidR="002B37E6">
        <w:rPr>
          <w:rFonts w:ascii="仿宋" w:eastAsia="仿宋" w:hAnsi="仿宋" w:hint="eastAsia"/>
          <w:sz w:val="30"/>
          <w:szCs w:val="30"/>
        </w:rPr>
        <w:t>房价高企透支</w:t>
      </w:r>
      <w:r w:rsidR="002B37E6" w:rsidRPr="00735733">
        <w:rPr>
          <w:rFonts w:ascii="仿宋" w:eastAsia="仿宋" w:hAnsi="仿宋" w:hint="eastAsia"/>
          <w:sz w:val="30"/>
          <w:szCs w:val="30"/>
        </w:rPr>
        <w:t>居民</w:t>
      </w:r>
      <w:r w:rsidR="000C03BC">
        <w:rPr>
          <w:rFonts w:ascii="仿宋" w:eastAsia="仿宋" w:hAnsi="仿宋" w:hint="eastAsia"/>
          <w:sz w:val="30"/>
          <w:szCs w:val="30"/>
        </w:rPr>
        <w:t>中长期</w:t>
      </w:r>
      <w:r w:rsidR="002B37E6">
        <w:rPr>
          <w:rFonts w:ascii="仿宋" w:eastAsia="仿宋" w:hAnsi="仿宋" w:hint="eastAsia"/>
          <w:sz w:val="30"/>
          <w:szCs w:val="30"/>
        </w:rPr>
        <w:t>消费能力</w:t>
      </w:r>
      <w:r w:rsidR="00EF4754">
        <w:rPr>
          <w:rFonts w:ascii="仿宋" w:eastAsia="仿宋" w:hAnsi="仿宋" w:hint="eastAsia"/>
          <w:sz w:val="30"/>
          <w:szCs w:val="30"/>
        </w:rPr>
        <w:t>。粤港澳</w:t>
      </w:r>
      <w:r w:rsidR="00031BBD">
        <w:rPr>
          <w:rFonts w:ascii="仿宋" w:eastAsia="仿宋" w:hAnsi="仿宋" w:hint="eastAsia"/>
          <w:sz w:val="30"/>
          <w:szCs w:val="30"/>
        </w:rPr>
        <w:t>大湾区</w:t>
      </w:r>
      <w:r w:rsidR="00EF4754">
        <w:rPr>
          <w:rFonts w:ascii="仿宋" w:eastAsia="仿宋" w:hAnsi="仿宋" w:hint="eastAsia"/>
          <w:sz w:val="30"/>
          <w:szCs w:val="30"/>
        </w:rPr>
        <w:t>受出口负向传导</w:t>
      </w:r>
      <w:r w:rsidR="00DC1C2C">
        <w:rPr>
          <w:rFonts w:ascii="仿宋" w:eastAsia="仿宋" w:hAnsi="仿宋" w:hint="eastAsia"/>
          <w:sz w:val="30"/>
          <w:szCs w:val="30"/>
        </w:rPr>
        <w:t>影响</w:t>
      </w:r>
      <w:r w:rsidR="00EF4754">
        <w:rPr>
          <w:rFonts w:ascii="仿宋" w:eastAsia="仿宋" w:hAnsi="仿宋" w:hint="eastAsia"/>
          <w:sz w:val="30"/>
          <w:szCs w:val="30"/>
        </w:rPr>
        <w:t>较大，</w:t>
      </w:r>
      <w:r w:rsidR="00145EF6">
        <w:rPr>
          <w:rFonts w:ascii="仿宋" w:eastAsia="仿宋" w:hAnsi="仿宋" w:hint="eastAsia"/>
          <w:sz w:val="30"/>
          <w:szCs w:val="30"/>
        </w:rPr>
        <w:t>在主动扩大进口</w:t>
      </w:r>
      <w:r w:rsidR="00031BBD">
        <w:rPr>
          <w:rFonts w:ascii="仿宋" w:eastAsia="仿宋" w:hAnsi="仿宋" w:hint="eastAsia"/>
          <w:sz w:val="30"/>
          <w:szCs w:val="30"/>
        </w:rPr>
        <w:t>和降低关税</w:t>
      </w:r>
      <w:r w:rsidR="00145EF6">
        <w:rPr>
          <w:rFonts w:ascii="仿宋" w:eastAsia="仿宋" w:hAnsi="仿宋" w:hint="eastAsia"/>
          <w:sz w:val="30"/>
          <w:szCs w:val="30"/>
        </w:rPr>
        <w:t>背景下，</w:t>
      </w:r>
      <w:r w:rsidR="008B2381">
        <w:rPr>
          <w:rFonts w:ascii="仿宋" w:eastAsia="仿宋" w:hAnsi="仿宋" w:hint="eastAsia"/>
          <w:sz w:val="30"/>
          <w:szCs w:val="30"/>
        </w:rPr>
        <w:t>进口产品对部分国内产品短期冲击不可避免</w:t>
      </w:r>
      <w:r w:rsidR="00145EF6">
        <w:rPr>
          <w:rFonts w:ascii="仿宋" w:eastAsia="仿宋" w:hAnsi="仿宋" w:hint="eastAsia"/>
          <w:sz w:val="30"/>
          <w:szCs w:val="30"/>
        </w:rPr>
        <w:t>，</w:t>
      </w:r>
      <w:r w:rsidR="00EF4754">
        <w:rPr>
          <w:rFonts w:ascii="仿宋" w:eastAsia="仿宋" w:hAnsi="仿宋" w:hint="eastAsia"/>
          <w:sz w:val="30"/>
          <w:szCs w:val="30"/>
        </w:rPr>
        <w:t>部分企业用工</w:t>
      </w:r>
      <w:r w:rsidR="001E2E99">
        <w:rPr>
          <w:rFonts w:ascii="仿宋" w:eastAsia="仿宋" w:hAnsi="仿宋" w:hint="eastAsia"/>
          <w:sz w:val="30"/>
          <w:szCs w:val="30"/>
        </w:rPr>
        <w:t>和</w:t>
      </w:r>
      <w:r w:rsidR="00145EF6">
        <w:rPr>
          <w:rFonts w:ascii="仿宋" w:eastAsia="仿宋" w:hAnsi="仿宋" w:hint="eastAsia"/>
          <w:sz w:val="30"/>
          <w:szCs w:val="30"/>
        </w:rPr>
        <w:t>员工</w:t>
      </w:r>
      <w:r w:rsidR="001E2E99">
        <w:rPr>
          <w:rFonts w:ascii="仿宋" w:eastAsia="仿宋" w:hAnsi="仿宋" w:hint="eastAsia"/>
          <w:sz w:val="30"/>
          <w:szCs w:val="30"/>
        </w:rPr>
        <w:t>收入</w:t>
      </w:r>
      <w:r w:rsidR="008B2381">
        <w:rPr>
          <w:rFonts w:ascii="仿宋" w:eastAsia="仿宋" w:hAnsi="仿宋" w:hint="eastAsia"/>
          <w:sz w:val="30"/>
          <w:szCs w:val="30"/>
        </w:rPr>
        <w:t>恐将</w:t>
      </w:r>
      <w:r w:rsidR="00EF4754">
        <w:rPr>
          <w:rFonts w:ascii="仿宋" w:eastAsia="仿宋" w:hAnsi="仿宋" w:hint="eastAsia"/>
          <w:sz w:val="30"/>
          <w:szCs w:val="30"/>
        </w:rPr>
        <w:t>减少。</w:t>
      </w:r>
      <w:r w:rsidR="00145EF6">
        <w:rPr>
          <w:rFonts w:ascii="仿宋" w:eastAsia="仿宋" w:hAnsi="仿宋" w:hint="eastAsia"/>
          <w:sz w:val="30"/>
          <w:szCs w:val="30"/>
        </w:rPr>
        <w:t>总体来看，</w:t>
      </w:r>
      <w:r w:rsidR="00225DBE" w:rsidRPr="00D439A7">
        <w:rPr>
          <w:rFonts w:ascii="黑体" w:eastAsia="黑体" w:hAnsi="黑体" w:hint="eastAsia"/>
          <w:sz w:val="30"/>
          <w:szCs w:val="30"/>
        </w:rPr>
        <w:t>“十四五”时期，</w:t>
      </w:r>
      <w:r w:rsidR="006C5E79" w:rsidRPr="00D439A7">
        <w:rPr>
          <w:rFonts w:ascii="黑体" w:eastAsia="黑体" w:hAnsi="黑体" w:hint="eastAsia"/>
          <w:sz w:val="30"/>
          <w:szCs w:val="30"/>
        </w:rPr>
        <w:t>东部沿海受居民消费能力和消费倾向下降影响，</w:t>
      </w:r>
      <w:r w:rsidR="00225DBE" w:rsidRPr="00D439A7">
        <w:rPr>
          <w:rFonts w:ascii="黑体" w:eastAsia="黑体" w:hAnsi="黑体" w:hint="eastAsia"/>
          <w:sz w:val="30"/>
          <w:szCs w:val="30"/>
        </w:rPr>
        <w:t>消费</w:t>
      </w:r>
      <w:r w:rsidR="006C5E79" w:rsidRPr="00D439A7">
        <w:rPr>
          <w:rFonts w:ascii="黑体" w:eastAsia="黑体" w:hAnsi="黑体" w:hint="eastAsia"/>
          <w:sz w:val="30"/>
          <w:szCs w:val="30"/>
        </w:rPr>
        <w:t>增速</w:t>
      </w:r>
      <w:r w:rsidR="00225DBE" w:rsidRPr="00D439A7">
        <w:rPr>
          <w:rFonts w:ascii="黑体" w:eastAsia="黑体" w:hAnsi="黑体" w:hint="eastAsia"/>
          <w:sz w:val="30"/>
          <w:szCs w:val="30"/>
        </w:rPr>
        <w:t>将从目前的8%的中高速增长滑向6%的中速增长</w:t>
      </w:r>
      <w:r w:rsidR="007C696A" w:rsidRPr="00D439A7">
        <w:rPr>
          <w:rFonts w:ascii="黑体" w:eastAsia="黑体" w:hAnsi="黑体" w:hint="eastAsia"/>
          <w:sz w:val="30"/>
          <w:szCs w:val="30"/>
        </w:rPr>
        <w:t>，</w:t>
      </w:r>
      <w:r w:rsidR="00625100" w:rsidRPr="00D439A7">
        <w:rPr>
          <w:rFonts w:ascii="黑体" w:eastAsia="黑体" w:hAnsi="黑体" w:hint="eastAsia"/>
          <w:sz w:val="30"/>
          <w:szCs w:val="30"/>
        </w:rPr>
        <w:t>在内外不确定性因素加大背景下，东部沿海扩大内需的形势较为严峻。</w:t>
      </w:r>
    </w:p>
    <w:p w:rsidR="00625100" w:rsidRDefault="00625100" w:rsidP="00625100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654330C6" wp14:editId="5DB3122A">
            <wp:extent cx="4572000" cy="274320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25100" w:rsidRPr="000A2133" w:rsidRDefault="00625100" w:rsidP="00625100">
      <w:pPr>
        <w:adjustRightInd w:val="0"/>
        <w:snapToGrid w:val="0"/>
        <w:spacing w:line="360" w:lineRule="auto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图</w:t>
      </w:r>
      <w:r w:rsidR="008460F7">
        <w:rPr>
          <w:rFonts w:ascii="黑体" w:eastAsia="黑体" w:hAnsi="黑体"/>
          <w:sz w:val="24"/>
          <w:szCs w:val="24"/>
        </w:rPr>
        <w:t>5</w:t>
      </w:r>
      <w:r w:rsidRPr="00BF0F4A"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东部部分沿海省份社会消费品零售总额增速</w:t>
      </w:r>
    </w:p>
    <w:p w:rsidR="00625100" w:rsidRDefault="00625100" w:rsidP="00625100">
      <w:pPr>
        <w:adjustRightInd w:val="0"/>
        <w:snapToGrid w:val="0"/>
        <w:spacing w:line="30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数据</w:t>
      </w:r>
      <w:r w:rsidRPr="00BF0F4A">
        <w:rPr>
          <w:rFonts w:ascii="楷体" w:eastAsia="楷体" w:hAnsi="楷体" w:hint="eastAsia"/>
        </w:rPr>
        <w:t>来源：</w:t>
      </w:r>
      <w:r>
        <w:rPr>
          <w:rFonts w:ascii="楷体" w:eastAsia="楷体" w:hAnsi="楷体"/>
        </w:rPr>
        <w:t>W</w:t>
      </w:r>
      <w:r w:rsidRPr="00BF0F4A">
        <w:rPr>
          <w:rFonts w:ascii="楷体" w:eastAsia="楷体" w:hAnsi="楷体"/>
        </w:rPr>
        <w:t>ind</w:t>
      </w:r>
      <w:r w:rsidRPr="00BF0F4A">
        <w:rPr>
          <w:rFonts w:ascii="楷体" w:eastAsia="楷体" w:hAnsi="楷体" w:hint="eastAsia"/>
        </w:rPr>
        <w:t>。</w:t>
      </w:r>
    </w:p>
    <w:p w:rsidR="00625100" w:rsidRPr="008149D6" w:rsidRDefault="00625100" w:rsidP="00625100">
      <w:pPr>
        <w:adjustRightInd w:val="0"/>
        <w:snapToGrid w:val="0"/>
        <w:spacing w:line="300" w:lineRule="auto"/>
        <w:rPr>
          <w:rFonts w:ascii="楷体" w:eastAsia="楷体" w:hAnsi="楷体"/>
        </w:rPr>
      </w:pPr>
    </w:p>
    <w:p w:rsidR="00E633E8" w:rsidRDefault="00CC5F41" w:rsidP="004A009F">
      <w:pPr>
        <w:pStyle w:val="2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="黑体" w:eastAsia="黑体" w:hAnsi="黑体"/>
          <w:b w:val="0"/>
        </w:rPr>
      </w:pPr>
      <w:r w:rsidRPr="00CC5F41">
        <w:rPr>
          <w:rFonts w:ascii="黑体" w:eastAsia="黑体" w:hAnsi="黑体" w:hint="eastAsia"/>
          <w:b w:val="0"/>
        </w:rPr>
        <w:lastRenderedPageBreak/>
        <w:t>释放内需潜力，推动区域协调发展</w:t>
      </w:r>
      <w:r>
        <w:rPr>
          <w:rFonts w:ascii="黑体" w:eastAsia="黑体" w:hAnsi="黑体" w:hint="eastAsia"/>
          <w:b w:val="0"/>
        </w:rPr>
        <w:t>的建议</w:t>
      </w:r>
    </w:p>
    <w:p w:rsidR="006D01BD" w:rsidRDefault="00CA5EFC" w:rsidP="00CA5EFC">
      <w:pPr>
        <w:pStyle w:val="2"/>
        <w:numPr>
          <w:ilvl w:val="0"/>
          <w:numId w:val="5"/>
        </w:numPr>
        <w:spacing w:before="0" w:after="0" w:line="360" w:lineRule="auto"/>
        <w:ind w:firstLineChars="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以</w:t>
      </w:r>
      <w:r w:rsidR="007040DD">
        <w:rPr>
          <w:rFonts w:ascii="楷体_GB2312" w:eastAsia="楷体_GB2312" w:hAnsi="楷体" w:hint="eastAsia"/>
          <w:sz w:val="30"/>
          <w:szCs w:val="30"/>
        </w:rPr>
        <w:t>城市</w:t>
      </w:r>
      <w:r w:rsidR="004A009F" w:rsidRPr="004A009F">
        <w:rPr>
          <w:rFonts w:ascii="楷体_GB2312" w:eastAsia="楷体_GB2312" w:hAnsi="楷体" w:hint="eastAsia"/>
          <w:sz w:val="30"/>
          <w:szCs w:val="30"/>
        </w:rPr>
        <w:t>精明增长</w:t>
      </w:r>
      <w:r w:rsidRPr="00CA5EFC">
        <w:rPr>
          <w:rFonts w:ascii="楷体_GB2312" w:eastAsia="楷体_GB2312" w:hAnsi="楷体" w:hint="eastAsia"/>
          <w:sz w:val="30"/>
          <w:szCs w:val="30"/>
        </w:rPr>
        <w:t>促进内需持续</w:t>
      </w:r>
      <w:r w:rsidR="007040DD">
        <w:rPr>
          <w:rFonts w:ascii="楷体_GB2312" w:eastAsia="楷体_GB2312" w:hAnsi="楷体" w:hint="eastAsia"/>
          <w:sz w:val="30"/>
          <w:szCs w:val="30"/>
        </w:rPr>
        <w:t>释放</w:t>
      </w:r>
    </w:p>
    <w:p w:rsidR="00DA04B1" w:rsidRPr="00DA04B1" w:rsidRDefault="007103D1" w:rsidP="00DA04B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树立“精明增长”理念，</w:t>
      </w:r>
      <w:r w:rsidR="00D572D6">
        <w:rPr>
          <w:rFonts w:ascii="仿宋" w:eastAsia="仿宋" w:hAnsi="仿宋" w:hint="eastAsia"/>
          <w:sz w:val="30"/>
          <w:szCs w:val="30"/>
        </w:rPr>
        <w:t>顺应人民对美好生活的新期待，</w:t>
      </w:r>
      <w:r w:rsidR="00C10152" w:rsidRPr="00C10152">
        <w:rPr>
          <w:rFonts w:ascii="仿宋" w:eastAsia="仿宋" w:hAnsi="仿宋" w:hint="eastAsia"/>
          <w:sz w:val="30"/>
          <w:szCs w:val="30"/>
        </w:rPr>
        <w:t>推动</w:t>
      </w:r>
      <w:r w:rsidR="003711D6" w:rsidRPr="003711D6">
        <w:rPr>
          <w:rFonts w:ascii="仿宋" w:eastAsia="仿宋" w:hAnsi="仿宋" w:hint="eastAsia"/>
          <w:sz w:val="30"/>
          <w:szCs w:val="30"/>
        </w:rPr>
        <w:t>人口流入量大的特大城市和大城市</w:t>
      </w:r>
      <w:r w:rsidR="00B833B0">
        <w:rPr>
          <w:rFonts w:ascii="仿宋" w:eastAsia="仿宋" w:hAnsi="仿宋" w:hint="eastAsia"/>
          <w:sz w:val="30"/>
          <w:szCs w:val="30"/>
        </w:rPr>
        <w:t>在改善</w:t>
      </w:r>
      <w:r w:rsidR="00C10152" w:rsidRPr="00C10152">
        <w:rPr>
          <w:rFonts w:ascii="仿宋" w:eastAsia="仿宋" w:hAnsi="仿宋" w:hint="eastAsia"/>
          <w:sz w:val="30"/>
          <w:szCs w:val="30"/>
        </w:rPr>
        <w:t>公共交通、</w:t>
      </w:r>
      <w:r w:rsidR="00F4221B">
        <w:rPr>
          <w:rFonts w:ascii="仿宋" w:eastAsia="仿宋" w:hAnsi="仿宋" w:hint="eastAsia"/>
          <w:sz w:val="30"/>
          <w:szCs w:val="30"/>
        </w:rPr>
        <w:t>生态环境</w:t>
      </w:r>
      <w:r w:rsidR="00B833B0">
        <w:rPr>
          <w:rFonts w:ascii="仿宋" w:eastAsia="仿宋" w:hAnsi="仿宋" w:hint="eastAsia"/>
          <w:sz w:val="30"/>
          <w:szCs w:val="30"/>
        </w:rPr>
        <w:t>、</w:t>
      </w:r>
      <w:r w:rsidR="00F4221B">
        <w:rPr>
          <w:rFonts w:ascii="仿宋" w:eastAsia="仿宋" w:hAnsi="仿宋" w:hint="eastAsia"/>
          <w:sz w:val="30"/>
          <w:szCs w:val="30"/>
        </w:rPr>
        <w:t>公共服务</w:t>
      </w:r>
      <w:r w:rsidR="0075242E">
        <w:rPr>
          <w:rFonts w:ascii="仿宋" w:eastAsia="仿宋" w:hAnsi="仿宋" w:hint="eastAsia"/>
          <w:sz w:val="30"/>
          <w:szCs w:val="30"/>
        </w:rPr>
        <w:t>方面的</w:t>
      </w:r>
      <w:r w:rsidR="00F4221B">
        <w:rPr>
          <w:rFonts w:ascii="仿宋" w:eastAsia="仿宋" w:hAnsi="仿宋" w:hint="eastAsia"/>
          <w:sz w:val="30"/>
          <w:szCs w:val="30"/>
        </w:rPr>
        <w:t>持续</w:t>
      </w:r>
      <w:r w:rsidR="0075242E">
        <w:rPr>
          <w:rFonts w:ascii="仿宋" w:eastAsia="仿宋" w:hAnsi="仿宋" w:hint="eastAsia"/>
          <w:sz w:val="30"/>
          <w:szCs w:val="30"/>
        </w:rPr>
        <w:t>投资，</w:t>
      </w:r>
      <w:r w:rsidR="003711D6" w:rsidRPr="003711D6">
        <w:rPr>
          <w:rFonts w:ascii="仿宋" w:eastAsia="仿宋" w:hAnsi="仿宋" w:hint="eastAsia"/>
          <w:sz w:val="30"/>
          <w:szCs w:val="30"/>
        </w:rPr>
        <w:t>积极盘活存量土地</w:t>
      </w:r>
      <w:r w:rsidR="003711D6">
        <w:rPr>
          <w:rFonts w:ascii="仿宋" w:eastAsia="仿宋" w:hAnsi="仿宋" w:hint="eastAsia"/>
          <w:sz w:val="30"/>
          <w:szCs w:val="30"/>
        </w:rPr>
        <w:t>，</w:t>
      </w:r>
      <w:r w:rsidR="0075242E" w:rsidRPr="0075242E">
        <w:rPr>
          <w:rFonts w:ascii="仿宋" w:eastAsia="仿宋" w:hAnsi="仿宋" w:hint="eastAsia"/>
          <w:sz w:val="30"/>
          <w:szCs w:val="30"/>
        </w:rPr>
        <w:t>遏制城市无序蔓延</w:t>
      </w:r>
      <w:r w:rsidR="0075242E">
        <w:rPr>
          <w:rFonts w:ascii="仿宋" w:eastAsia="仿宋" w:hAnsi="仿宋" w:hint="eastAsia"/>
          <w:sz w:val="30"/>
          <w:szCs w:val="30"/>
        </w:rPr>
        <w:t>，</w:t>
      </w:r>
      <w:r w:rsidR="0075242E" w:rsidRPr="00DA04B1">
        <w:rPr>
          <w:rFonts w:ascii="仿宋" w:eastAsia="仿宋" w:hAnsi="仿宋"/>
          <w:sz w:val="30"/>
          <w:szCs w:val="30"/>
        </w:rPr>
        <w:t>有效治理“</w:t>
      </w:r>
      <w:r w:rsidR="0075242E">
        <w:rPr>
          <w:rFonts w:ascii="仿宋" w:eastAsia="仿宋" w:hAnsi="仿宋" w:hint="eastAsia"/>
          <w:sz w:val="30"/>
          <w:szCs w:val="30"/>
        </w:rPr>
        <w:t>大</w:t>
      </w:r>
      <w:r w:rsidR="0075242E" w:rsidRPr="00DA04B1">
        <w:rPr>
          <w:rFonts w:ascii="仿宋" w:eastAsia="仿宋" w:hAnsi="仿宋"/>
          <w:sz w:val="30"/>
          <w:szCs w:val="30"/>
        </w:rPr>
        <w:t>城市病”</w:t>
      </w:r>
      <w:r w:rsidR="0075242E">
        <w:rPr>
          <w:rFonts w:ascii="仿宋" w:eastAsia="仿宋" w:hAnsi="仿宋" w:hint="eastAsia"/>
          <w:sz w:val="30"/>
          <w:szCs w:val="30"/>
        </w:rPr>
        <w:t>。</w:t>
      </w:r>
      <w:r w:rsidR="00BF512E">
        <w:rPr>
          <w:rFonts w:ascii="仿宋" w:eastAsia="仿宋" w:hAnsi="仿宋" w:hint="eastAsia"/>
          <w:sz w:val="30"/>
          <w:szCs w:val="30"/>
        </w:rPr>
        <w:t>试点</w:t>
      </w:r>
      <w:r w:rsidR="0075331C">
        <w:rPr>
          <w:rFonts w:ascii="仿宋" w:eastAsia="仿宋" w:hAnsi="仿宋" w:hint="eastAsia"/>
          <w:sz w:val="30"/>
          <w:szCs w:val="30"/>
        </w:rPr>
        <w:t>调整大城市汽车限购政策，推动存量指标可交易，</w:t>
      </w:r>
      <w:r w:rsidR="00466490">
        <w:rPr>
          <w:rFonts w:ascii="仿宋" w:eastAsia="仿宋" w:hAnsi="仿宋" w:hint="eastAsia"/>
          <w:sz w:val="30"/>
          <w:szCs w:val="30"/>
        </w:rPr>
        <w:t>继续</w:t>
      </w:r>
      <w:r w:rsidR="006538B8">
        <w:rPr>
          <w:rFonts w:ascii="仿宋" w:eastAsia="仿宋" w:hAnsi="仿宋" w:hint="eastAsia"/>
          <w:sz w:val="30"/>
          <w:szCs w:val="30"/>
        </w:rPr>
        <w:t>完善停车设施建设，</w:t>
      </w:r>
      <w:r w:rsidR="00112568">
        <w:rPr>
          <w:rFonts w:ascii="仿宋" w:eastAsia="仿宋" w:hAnsi="仿宋" w:hint="eastAsia"/>
          <w:sz w:val="30"/>
          <w:szCs w:val="30"/>
        </w:rPr>
        <w:t>挖掘</w:t>
      </w:r>
      <w:r w:rsidR="006538B8">
        <w:rPr>
          <w:rFonts w:ascii="仿宋" w:eastAsia="仿宋" w:hAnsi="仿宋" w:hint="eastAsia"/>
          <w:sz w:val="30"/>
          <w:szCs w:val="30"/>
        </w:rPr>
        <w:t>汽车</w:t>
      </w:r>
      <w:r w:rsidR="0075331C">
        <w:rPr>
          <w:rFonts w:ascii="仿宋" w:eastAsia="仿宋" w:hAnsi="仿宋" w:hint="eastAsia"/>
          <w:sz w:val="30"/>
          <w:szCs w:val="30"/>
        </w:rPr>
        <w:t>消费</w:t>
      </w:r>
      <w:r w:rsidR="00112568">
        <w:rPr>
          <w:rFonts w:ascii="仿宋" w:eastAsia="仿宋" w:hAnsi="仿宋" w:hint="eastAsia"/>
          <w:sz w:val="30"/>
          <w:szCs w:val="30"/>
        </w:rPr>
        <w:t>潜力</w:t>
      </w:r>
      <w:r w:rsidR="0075331C">
        <w:rPr>
          <w:rFonts w:ascii="仿宋" w:eastAsia="仿宋" w:hAnsi="仿宋" w:hint="eastAsia"/>
          <w:sz w:val="30"/>
          <w:szCs w:val="30"/>
        </w:rPr>
        <w:t>。</w:t>
      </w:r>
      <w:r w:rsidR="00F86C5E">
        <w:rPr>
          <w:rFonts w:ascii="仿宋" w:eastAsia="仿宋" w:hAnsi="仿宋" w:hint="eastAsia"/>
          <w:sz w:val="30"/>
          <w:szCs w:val="30"/>
        </w:rPr>
        <w:t>对中西部和东北</w:t>
      </w:r>
      <w:r w:rsidR="00736D16" w:rsidRPr="00736D16">
        <w:rPr>
          <w:rFonts w:ascii="仿宋" w:eastAsia="仿宋" w:hAnsi="仿宋" w:hint="eastAsia"/>
          <w:sz w:val="30"/>
          <w:szCs w:val="30"/>
        </w:rPr>
        <w:t>部分</w:t>
      </w:r>
      <w:r w:rsidR="00D80D71" w:rsidRPr="00D80D71">
        <w:rPr>
          <w:rFonts w:ascii="仿宋" w:eastAsia="仿宋" w:hAnsi="仿宋" w:hint="eastAsia"/>
          <w:sz w:val="30"/>
          <w:szCs w:val="30"/>
        </w:rPr>
        <w:t>人口经济份额</w:t>
      </w:r>
      <w:r w:rsidR="00035EB9">
        <w:rPr>
          <w:rFonts w:ascii="仿宋" w:eastAsia="仿宋" w:hAnsi="仿宋" w:hint="eastAsia"/>
          <w:sz w:val="30"/>
          <w:szCs w:val="30"/>
        </w:rPr>
        <w:t>“</w:t>
      </w:r>
      <w:r w:rsidR="00D80D71" w:rsidRPr="00D80D71">
        <w:rPr>
          <w:rFonts w:ascii="仿宋" w:eastAsia="仿宋" w:hAnsi="仿宋" w:hint="eastAsia"/>
          <w:sz w:val="30"/>
          <w:szCs w:val="30"/>
        </w:rPr>
        <w:t>双收缩</w:t>
      </w:r>
      <w:r w:rsidR="00035EB9">
        <w:rPr>
          <w:rFonts w:ascii="仿宋" w:eastAsia="仿宋" w:hAnsi="仿宋" w:hint="eastAsia"/>
          <w:sz w:val="30"/>
          <w:szCs w:val="30"/>
        </w:rPr>
        <w:t>”</w:t>
      </w:r>
      <w:r w:rsidR="00D80D71">
        <w:rPr>
          <w:rFonts w:ascii="仿宋" w:eastAsia="仿宋" w:hAnsi="仿宋" w:hint="eastAsia"/>
          <w:sz w:val="30"/>
          <w:szCs w:val="30"/>
        </w:rPr>
        <w:t>城市</w:t>
      </w:r>
      <w:r w:rsidR="00736D16" w:rsidRPr="00736D16">
        <w:rPr>
          <w:rFonts w:ascii="仿宋" w:eastAsia="仿宋" w:hAnsi="仿宋" w:hint="eastAsia"/>
          <w:sz w:val="30"/>
          <w:szCs w:val="30"/>
        </w:rPr>
        <w:t>，</w:t>
      </w:r>
      <w:r w:rsidR="00530659" w:rsidRPr="00DA04B1">
        <w:rPr>
          <w:rFonts w:ascii="仿宋" w:eastAsia="仿宋" w:hAnsi="仿宋"/>
          <w:sz w:val="30"/>
          <w:szCs w:val="30"/>
        </w:rPr>
        <w:t>科学预测城镇</w:t>
      </w:r>
      <w:proofErr w:type="gramStart"/>
      <w:r w:rsidR="00530659" w:rsidRPr="00DA04B1">
        <w:rPr>
          <w:rFonts w:ascii="仿宋" w:eastAsia="仿宋" w:hAnsi="仿宋"/>
          <w:sz w:val="30"/>
          <w:szCs w:val="30"/>
        </w:rPr>
        <w:t>化进入</w:t>
      </w:r>
      <w:proofErr w:type="gramEnd"/>
      <w:r w:rsidR="00530659" w:rsidRPr="00DA04B1">
        <w:rPr>
          <w:rFonts w:ascii="仿宋" w:eastAsia="仿宋" w:hAnsi="仿宋"/>
          <w:sz w:val="30"/>
          <w:szCs w:val="30"/>
        </w:rPr>
        <w:t>稳定期后的人口规模</w:t>
      </w:r>
      <w:r w:rsidR="00530659">
        <w:rPr>
          <w:rFonts w:ascii="仿宋" w:eastAsia="仿宋" w:hAnsi="仿宋" w:hint="eastAsia"/>
          <w:sz w:val="30"/>
          <w:szCs w:val="30"/>
        </w:rPr>
        <w:t>，保持</w:t>
      </w:r>
      <w:r w:rsidR="00736D16" w:rsidRPr="00736D16">
        <w:rPr>
          <w:rFonts w:ascii="仿宋" w:eastAsia="仿宋" w:hAnsi="仿宋" w:hint="eastAsia"/>
          <w:sz w:val="30"/>
          <w:szCs w:val="30"/>
        </w:rPr>
        <w:t>投资</w:t>
      </w:r>
      <w:r w:rsidR="00530659">
        <w:rPr>
          <w:rFonts w:ascii="仿宋" w:eastAsia="仿宋" w:hAnsi="仿宋" w:hint="eastAsia"/>
          <w:sz w:val="30"/>
          <w:szCs w:val="30"/>
        </w:rPr>
        <w:t>和人口</w:t>
      </w:r>
      <w:r w:rsidR="00736D16" w:rsidRPr="00736D16">
        <w:rPr>
          <w:rFonts w:ascii="仿宋" w:eastAsia="仿宋" w:hAnsi="仿宋" w:hint="eastAsia"/>
          <w:sz w:val="30"/>
          <w:szCs w:val="30"/>
        </w:rPr>
        <w:t>的动态平衡</w:t>
      </w:r>
      <w:r w:rsidR="00F86C5E">
        <w:rPr>
          <w:rFonts w:ascii="仿宋" w:eastAsia="仿宋" w:hAnsi="仿宋" w:hint="eastAsia"/>
          <w:sz w:val="30"/>
          <w:szCs w:val="30"/>
        </w:rPr>
        <w:t>，避免盲目铺摊子上项目</w:t>
      </w:r>
      <w:r w:rsidR="00D80D71">
        <w:rPr>
          <w:rFonts w:ascii="仿宋" w:eastAsia="仿宋" w:hAnsi="仿宋" w:hint="eastAsia"/>
          <w:sz w:val="30"/>
          <w:szCs w:val="30"/>
        </w:rPr>
        <w:t>继续</w:t>
      </w:r>
      <w:r w:rsidR="00F86C5E">
        <w:rPr>
          <w:rFonts w:ascii="仿宋" w:eastAsia="仿宋" w:hAnsi="仿宋" w:hint="eastAsia"/>
          <w:sz w:val="30"/>
          <w:szCs w:val="30"/>
        </w:rPr>
        <w:t>推高地方债务</w:t>
      </w:r>
      <w:r w:rsidR="00AB1811">
        <w:rPr>
          <w:rFonts w:ascii="仿宋" w:eastAsia="仿宋" w:hAnsi="仿宋" w:hint="eastAsia"/>
          <w:sz w:val="30"/>
          <w:szCs w:val="30"/>
        </w:rPr>
        <w:t>，</w:t>
      </w:r>
      <w:r w:rsidR="00D572D6">
        <w:rPr>
          <w:rFonts w:ascii="仿宋" w:eastAsia="仿宋" w:hAnsi="仿宋" w:hint="eastAsia"/>
          <w:sz w:val="30"/>
          <w:szCs w:val="30"/>
        </w:rPr>
        <w:t>积极</w:t>
      </w:r>
      <w:r w:rsidR="00F86C5E" w:rsidRPr="00736D16">
        <w:rPr>
          <w:rFonts w:ascii="仿宋" w:eastAsia="仿宋" w:hAnsi="仿宋" w:hint="eastAsia"/>
          <w:sz w:val="30"/>
          <w:szCs w:val="30"/>
        </w:rPr>
        <w:t>引导人口</w:t>
      </w:r>
      <w:r w:rsidR="00CE5D8D">
        <w:rPr>
          <w:rFonts w:ascii="仿宋" w:eastAsia="仿宋" w:hAnsi="仿宋" w:hint="eastAsia"/>
          <w:sz w:val="30"/>
          <w:szCs w:val="30"/>
        </w:rPr>
        <w:t>、</w:t>
      </w:r>
      <w:r w:rsidR="00F86C5E" w:rsidRPr="00736D16">
        <w:rPr>
          <w:rFonts w:ascii="仿宋" w:eastAsia="仿宋" w:hAnsi="仿宋" w:hint="eastAsia"/>
          <w:sz w:val="30"/>
          <w:szCs w:val="30"/>
        </w:rPr>
        <w:t>资金向回报率更高的省会城市和</w:t>
      </w:r>
      <w:r w:rsidR="00CE5D8D">
        <w:rPr>
          <w:rFonts w:ascii="仿宋" w:eastAsia="仿宋" w:hAnsi="仿宋" w:hint="eastAsia"/>
          <w:sz w:val="30"/>
          <w:szCs w:val="30"/>
        </w:rPr>
        <w:t>区域</w:t>
      </w:r>
      <w:r w:rsidR="00F86C5E" w:rsidRPr="00736D16">
        <w:rPr>
          <w:rFonts w:ascii="仿宋" w:eastAsia="仿宋" w:hAnsi="仿宋" w:hint="eastAsia"/>
          <w:sz w:val="30"/>
          <w:szCs w:val="30"/>
        </w:rPr>
        <w:t>中</w:t>
      </w:r>
      <w:r w:rsidR="00F86C5E">
        <w:rPr>
          <w:rFonts w:ascii="仿宋" w:eastAsia="仿宋" w:hAnsi="仿宋" w:hint="eastAsia"/>
          <w:sz w:val="30"/>
          <w:szCs w:val="30"/>
        </w:rPr>
        <w:t>心</w:t>
      </w:r>
      <w:r w:rsidR="00894A79">
        <w:rPr>
          <w:rFonts w:ascii="仿宋" w:eastAsia="仿宋" w:hAnsi="仿宋" w:hint="eastAsia"/>
          <w:sz w:val="30"/>
          <w:szCs w:val="30"/>
        </w:rPr>
        <w:t>城市集聚</w:t>
      </w:r>
      <w:r w:rsidR="0060474F">
        <w:rPr>
          <w:rFonts w:ascii="仿宋" w:eastAsia="仿宋" w:hAnsi="仿宋" w:hint="eastAsia"/>
          <w:sz w:val="30"/>
          <w:szCs w:val="30"/>
        </w:rPr>
        <w:t>。</w:t>
      </w:r>
    </w:p>
    <w:p w:rsidR="00CA5EFC" w:rsidRDefault="00CA5EFC" w:rsidP="00CA5EFC">
      <w:pPr>
        <w:pStyle w:val="2"/>
        <w:numPr>
          <w:ilvl w:val="0"/>
          <w:numId w:val="5"/>
        </w:numPr>
        <w:spacing w:before="0" w:after="0" w:line="360" w:lineRule="auto"/>
        <w:ind w:firstLineChars="0"/>
        <w:rPr>
          <w:rFonts w:ascii="楷体_GB2312" w:eastAsia="楷体_GB2312" w:hAnsi="楷体"/>
          <w:sz w:val="30"/>
          <w:szCs w:val="30"/>
        </w:rPr>
      </w:pPr>
      <w:r w:rsidRPr="00CA5EFC">
        <w:rPr>
          <w:rFonts w:ascii="楷体_GB2312" w:eastAsia="楷体_GB2312" w:hAnsi="楷体" w:hint="eastAsia"/>
          <w:sz w:val="30"/>
          <w:szCs w:val="30"/>
        </w:rPr>
        <w:t>以重大基础设施</w:t>
      </w:r>
      <w:r w:rsidR="00D505B4">
        <w:rPr>
          <w:rFonts w:ascii="楷体_GB2312" w:eastAsia="楷体_GB2312" w:hAnsi="楷体" w:hint="eastAsia"/>
          <w:sz w:val="30"/>
          <w:szCs w:val="30"/>
        </w:rPr>
        <w:t>投资</w:t>
      </w:r>
      <w:r>
        <w:rPr>
          <w:rFonts w:ascii="楷体_GB2312" w:eastAsia="楷体_GB2312" w:hAnsi="楷体" w:hint="eastAsia"/>
          <w:sz w:val="30"/>
          <w:szCs w:val="30"/>
        </w:rPr>
        <w:t>提升中西部通达能力</w:t>
      </w:r>
    </w:p>
    <w:p w:rsidR="00D572D6" w:rsidRDefault="00A52AE9" w:rsidP="007040DD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积极</w:t>
      </w:r>
      <w:r w:rsidR="00E86167">
        <w:rPr>
          <w:rFonts w:ascii="仿宋" w:eastAsia="仿宋" w:hAnsi="仿宋" w:hint="eastAsia"/>
          <w:sz w:val="30"/>
          <w:szCs w:val="30"/>
        </w:rPr>
        <w:t>发展枢纽经济，</w:t>
      </w:r>
      <w:r w:rsidR="006209A7">
        <w:rPr>
          <w:rFonts w:ascii="仿宋" w:eastAsia="仿宋" w:hAnsi="仿宋" w:hint="eastAsia"/>
          <w:sz w:val="30"/>
          <w:szCs w:val="30"/>
        </w:rPr>
        <w:t>以武汉、</w:t>
      </w:r>
      <w:r w:rsidR="00FF0E22">
        <w:rPr>
          <w:rFonts w:ascii="仿宋" w:eastAsia="仿宋" w:hAnsi="仿宋" w:hint="eastAsia"/>
          <w:sz w:val="30"/>
          <w:szCs w:val="30"/>
        </w:rPr>
        <w:t>长沙、</w:t>
      </w:r>
      <w:r w:rsidR="006209A7">
        <w:rPr>
          <w:rFonts w:ascii="仿宋" w:eastAsia="仿宋" w:hAnsi="仿宋" w:hint="eastAsia"/>
          <w:sz w:val="30"/>
          <w:szCs w:val="30"/>
        </w:rPr>
        <w:t>郑州、南昌、合肥、太原等</w:t>
      </w:r>
      <w:r w:rsidR="00D572D6">
        <w:rPr>
          <w:rFonts w:ascii="仿宋" w:eastAsia="仿宋" w:hAnsi="仿宋" w:hint="eastAsia"/>
          <w:sz w:val="30"/>
          <w:szCs w:val="30"/>
        </w:rPr>
        <w:t>中部</w:t>
      </w:r>
      <w:r w:rsidR="006209A7">
        <w:rPr>
          <w:rFonts w:ascii="仿宋" w:eastAsia="仿宋" w:hAnsi="仿宋" w:hint="eastAsia"/>
          <w:sz w:val="30"/>
          <w:szCs w:val="30"/>
        </w:rPr>
        <w:t>机场</w:t>
      </w:r>
      <w:r w:rsidR="00214667">
        <w:rPr>
          <w:rFonts w:ascii="仿宋" w:eastAsia="仿宋" w:hAnsi="仿宋" w:hint="eastAsia"/>
          <w:sz w:val="30"/>
          <w:szCs w:val="30"/>
        </w:rPr>
        <w:t>改扩建</w:t>
      </w:r>
      <w:r w:rsidR="006209A7">
        <w:rPr>
          <w:rFonts w:ascii="仿宋" w:eastAsia="仿宋" w:hAnsi="仿宋" w:hint="eastAsia"/>
          <w:sz w:val="30"/>
          <w:szCs w:val="30"/>
        </w:rPr>
        <w:t>为契机，</w:t>
      </w:r>
      <w:r>
        <w:rPr>
          <w:rFonts w:ascii="仿宋" w:eastAsia="仿宋" w:hAnsi="仿宋" w:hint="eastAsia"/>
          <w:sz w:val="30"/>
          <w:szCs w:val="30"/>
        </w:rPr>
        <w:t>积极</w:t>
      </w:r>
      <w:r w:rsidR="008001D2" w:rsidRPr="008001D2">
        <w:rPr>
          <w:rFonts w:ascii="仿宋" w:eastAsia="仿宋" w:hAnsi="仿宋" w:hint="eastAsia"/>
          <w:sz w:val="30"/>
          <w:szCs w:val="30"/>
        </w:rPr>
        <w:t>发展</w:t>
      </w:r>
      <w:r w:rsidR="009C6EBC">
        <w:rPr>
          <w:rFonts w:ascii="仿宋" w:eastAsia="仿宋" w:hAnsi="仿宋" w:hint="eastAsia"/>
          <w:sz w:val="30"/>
          <w:szCs w:val="30"/>
        </w:rPr>
        <w:t>多式联运</w:t>
      </w:r>
      <w:r w:rsidR="008001D2" w:rsidRPr="008001D2">
        <w:rPr>
          <w:rFonts w:ascii="仿宋" w:eastAsia="仿宋" w:hAnsi="仿宋" w:hint="eastAsia"/>
          <w:sz w:val="30"/>
          <w:szCs w:val="30"/>
        </w:rPr>
        <w:t>，</w:t>
      </w:r>
      <w:r w:rsidR="00FF0E22">
        <w:rPr>
          <w:rFonts w:ascii="仿宋" w:eastAsia="仿宋" w:hAnsi="仿宋" w:hint="eastAsia"/>
          <w:sz w:val="30"/>
          <w:szCs w:val="30"/>
        </w:rPr>
        <w:t>打造</w:t>
      </w:r>
      <w:r w:rsidR="00164C9D">
        <w:rPr>
          <w:rFonts w:ascii="仿宋" w:eastAsia="仿宋" w:hAnsi="仿宋" w:hint="eastAsia"/>
          <w:sz w:val="30"/>
          <w:szCs w:val="30"/>
        </w:rPr>
        <w:t>一批</w:t>
      </w:r>
      <w:r w:rsidR="00D572D6">
        <w:rPr>
          <w:rFonts w:ascii="仿宋" w:eastAsia="仿宋" w:hAnsi="仿宋" w:hint="eastAsia"/>
          <w:sz w:val="30"/>
          <w:szCs w:val="30"/>
        </w:rPr>
        <w:t>临</w:t>
      </w:r>
      <w:proofErr w:type="gramStart"/>
      <w:r w:rsidR="00D572D6">
        <w:rPr>
          <w:rFonts w:ascii="仿宋" w:eastAsia="仿宋" w:hAnsi="仿宋" w:hint="eastAsia"/>
          <w:sz w:val="30"/>
          <w:szCs w:val="30"/>
        </w:rPr>
        <w:t>空经济</w:t>
      </w:r>
      <w:proofErr w:type="gramEnd"/>
      <w:r w:rsidR="00FF0E22">
        <w:rPr>
          <w:rFonts w:ascii="仿宋" w:eastAsia="仿宋" w:hAnsi="仿宋" w:hint="eastAsia"/>
          <w:sz w:val="30"/>
          <w:szCs w:val="30"/>
        </w:rPr>
        <w:t>示范</w:t>
      </w:r>
      <w:r w:rsidR="00D572D6">
        <w:rPr>
          <w:rFonts w:ascii="仿宋" w:eastAsia="仿宋" w:hAnsi="仿宋" w:hint="eastAsia"/>
          <w:sz w:val="30"/>
          <w:szCs w:val="30"/>
        </w:rPr>
        <w:t>区</w:t>
      </w:r>
      <w:r w:rsidR="006209A7">
        <w:rPr>
          <w:rFonts w:ascii="仿宋" w:eastAsia="仿宋" w:hAnsi="仿宋" w:hint="eastAsia"/>
          <w:sz w:val="30"/>
          <w:szCs w:val="30"/>
        </w:rPr>
        <w:t>。</w:t>
      </w:r>
      <w:r w:rsidR="00214667">
        <w:rPr>
          <w:rFonts w:ascii="仿宋" w:eastAsia="仿宋" w:hAnsi="仿宋" w:hint="eastAsia"/>
          <w:sz w:val="30"/>
          <w:szCs w:val="30"/>
        </w:rPr>
        <w:t>加大对承担</w:t>
      </w:r>
      <w:r w:rsidR="00164C9D">
        <w:rPr>
          <w:rFonts w:ascii="仿宋" w:eastAsia="仿宋" w:hAnsi="仿宋" w:hint="eastAsia"/>
          <w:sz w:val="30"/>
          <w:szCs w:val="30"/>
        </w:rPr>
        <w:t>国防、能源</w:t>
      </w:r>
      <w:r w:rsidR="00214667">
        <w:rPr>
          <w:rFonts w:ascii="仿宋" w:eastAsia="仿宋" w:hAnsi="仿宋" w:hint="eastAsia"/>
          <w:sz w:val="30"/>
          <w:szCs w:val="30"/>
        </w:rPr>
        <w:t>等战略安全任务地区的</w:t>
      </w:r>
      <w:r>
        <w:rPr>
          <w:rFonts w:ascii="仿宋" w:eastAsia="仿宋" w:hAnsi="仿宋" w:hint="eastAsia"/>
          <w:sz w:val="30"/>
          <w:szCs w:val="30"/>
        </w:rPr>
        <w:t>中央</w:t>
      </w:r>
      <w:r w:rsidR="00214667">
        <w:rPr>
          <w:rFonts w:ascii="仿宋" w:eastAsia="仿宋" w:hAnsi="仿宋" w:hint="eastAsia"/>
          <w:sz w:val="30"/>
          <w:szCs w:val="30"/>
        </w:rPr>
        <w:t>投资力度</w:t>
      </w:r>
      <w:r w:rsidR="00164C9D">
        <w:rPr>
          <w:rFonts w:ascii="仿宋" w:eastAsia="仿宋" w:hAnsi="仿宋" w:hint="eastAsia"/>
          <w:sz w:val="30"/>
          <w:szCs w:val="30"/>
        </w:rPr>
        <w:t>，</w:t>
      </w:r>
      <w:r w:rsidR="0001001E">
        <w:rPr>
          <w:rFonts w:ascii="仿宋" w:eastAsia="仿宋" w:hAnsi="仿宋" w:hint="eastAsia"/>
          <w:sz w:val="30"/>
          <w:szCs w:val="30"/>
        </w:rPr>
        <w:t>降低地方配套资金比例，</w:t>
      </w:r>
      <w:r w:rsidR="00214667">
        <w:rPr>
          <w:rFonts w:ascii="仿宋" w:eastAsia="仿宋" w:hAnsi="仿宋" w:hint="eastAsia"/>
          <w:sz w:val="30"/>
          <w:szCs w:val="30"/>
        </w:rPr>
        <w:t>以西藏、新疆为重点发展</w:t>
      </w:r>
      <w:r w:rsidR="00164C9D">
        <w:rPr>
          <w:rFonts w:ascii="仿宋" w:eastAsia="仿宋" w:hAnsi="仿宋" w:hint="eastAsia"/>
          <w:sz w:val="30"/>
          <w:szCs w:val="30"/>
        </w:rPr>
        <w:t>一批边境城镇，实施</w:t>
      </w:r>
      <w:r w:rsidR="00164C9D" w:rsidRPr="00164C9D">
        <w:rPr>
          <w:rFonts w:ascii="仿宋" w:eastAsia="仿宋" w:hAnsi="仿宋" w:hint="eastAsia"/>
          <w:sz w:val="30"/>
          <w:szCs w:val="30"/>
        </w:rPr>
        <w:t>边境人口增长</w:t>
      </w:r>
      <w:r w:rsidR="00164C9D">
        <w:rPr>
          <w:rFonts w:ascii="仿宋" w:eastAsia="仿宋" w:hAnsi="仿宋" w:hint="eastAsia"/>
          <w:sz w:val="30"/>
          <w:szCs w:val="30"/>
        </w:rPr>
        <w:t>工程，建设边防公路和旅游景观公路</w:t>
      </w:r>
      <w:r w:rsidR="008118CA">
        <w:rPr>
          <w:rFonts w:ascii="仿宋" w:eastAsia="仿宋" w:hAnsi="仿宋" w:hint="eastAsia"/>
          <w:sz w:val="30"/>
          <w:szCs w:val="30"/>
        </w:rPr>
        <w:t>，</w:t>
      </w:r>
      <w:r w:rsidR="003035B9" w:rsidRPr="003035B9">
        <w:rPr>
          <w:rFonts w:ascii="仿宋" w:eastAsia="仿宋" w:hAnsi="仿宋" w:hint="eastAsia"/>
          <w:sz w:val="30"/>
          <w:szCs w:val="30"/>
        </w:rPr>
        <w:t>全面强化</w:t>
      </w:r>
      <w:r w:rsidR="003035B9" w:rsidRPr="003035B9">
        <w:rPr>
          <w:rFonts w:ascii="仿宋" w:eastAsia="仿宋" w:hAnsi="仿宋" w:hint="eastAsia"/>
          <w:sz w:val="30"/>
          <w:szCs w:val="30"/>
        </w:rPr>
        <w:t>基础设施条件</w:t>
      </w:r>
      <w:r w:rsidR="00164C9D">
        <w:rPr>
          <w:rFonts w:ascii="仿宋" w:eastAsia="仿宋" w:hAnsi="仿宋" w:hint="eastAsia"/>
          <w:sz w:val="30"/>
          <w:szCs w:val="30"/>
        </w:rPr>
        <w:t>。</w:t>
      </w:r>
      <w:r w:rsidR="00214667" w:rsidRPr="007040DD">
        <w:rPr>
          <w:rFonts w:ascii="仿宋" w:eastAsia="仿宋" w:hAnsi="仿宋" w:hint="eastAsia"/>
          <w:sz w:val="30"/>
          <w:szCs w:val="30"/>
        </w:rPr>
        <w:t>遏制内蒙古、宁夏、甘肃</w:t>
      </w:r>
      <w:r w:rsidR="00426BDE">
        <w:rPr>
          <w:rFonts w:ascii="仿宋" w:eastAsia="仿宋" w:hAnsi="仿宋" w:hint="eastAsia"/>
          <w:sz w:val="30"/>
          <w:szCs w:val="30"/>
        </w:rPr>
        <w:t>、新疆</w:t>
      </w:r>
      <w:r w:rsidR="00214667" w:rsidRPr="007040DD">
        <w:rPr>
          <w:rFonts w:ascii="仿宋" w:eastAsia="仿宋" w:hAnsi="仿宋" w:hint="eastAsia"/>
          <w:sz w:val="30"/>
          <w:szCs w:val="30"/>
        </w:rPr>
        <w:t>等“</w:t>
      </w:r>
      <w:r w:rsidR="00EF4179">
        <w:rPr>
          <w:rFonts w:ascii="仿宋" w:eastAsia="仿宋" w:hAnsi="仿宋" w:hint="eastAsia"/>
          <w:sz w:val="30"/>
          <w:szCs w:val="30"/>
        </w:rPr>
        <w:t>西北</w:t>
      </w:r>
      <w:r w:rsidR="00214667" w:rsidRPr="007040DD">
        <w:rPr>
          <w:rFonts w:ascii="仿宋" w:eastAsia="仿宋" w:hAnsi="仿宋" w:hint="eastAsia"/>
          <w:sz w:val="30"/>
          <w:szCs w:val="30"/>
        </w:rPr>
        <w:t>”地区投资下滑幅度过快问题</w:t>
      </w:r>
      <w:r w:rsidR="008001D2">
        <w:rPr>
          <w:rFonts w:ascii="仿宋" w:eastAsia="仿宋" w:hAnsi="仿宋" w:hint="eastAsia"/>
          <w:sz w:val="30"/>
          <w:szCs w:val="30"/>
        </w:rPr>
        <w:t>，</w:t>
      </w:r>
      <w:r w:rsidR="006D3373">
        <w:rPr>
          <w:rFonts w:ascii="仿宋" w:eastAsia="仿宋" w:hAnsi="仿宋" w:hint="eastAsia"/>
          <w:sz w:val="30"/>
          <w:szCs w:val="30"/>
        </w:rPr>
        <w:t>研究在</w:t>
      </w:r>
      <w:r w:rsidR="00081FFF">
        <w:rPr>
          <w:rFonts w:ascii="仿宋" w:eastAsia="仿宋" w:hAnsi="仿宋" w:hint="eastAsia"/>
          <w:sz w:val="30"/>
          <w:szCs w:val="30"/>
        </w:rPr>
        <w:t>“</w:t>
      </w:r>
      <w:r w:rsidR="006D3373">
        <w:rPr>
          <w:rFonts w:ascii="仿宋" w:eastAsia="仿宋" w:hAnsi="仿宋" w:hint="eastAsia"/>
          <w:sz w:val="30"/>
          <w:szCs w:val="30"/>
        </w:rPr>
        <w:t>一带一路”</w:t>
      </w:r>
      <w:r w:rsidR="008118CA">
        <w:rPr>
          <w:rFonts w:ascii="仿宋" w:eastAsia="仿宋" w:hAnsi="仿宋" w:hint="eastAsia"/>
          <w:sz w:val="30"/>
          <w:szCs w:val="30"/>
        </w:rPr>
        <w:t>框架下建设瓜达尔港至我国西北地区的油气管道，</w:t>
      </w:r>
      <w:r w:rsidR="006D3373">
        <w:rPr>
          <w:rFonts w:ascii="仿宋" w:eastAsia="仿宋" w:hAnsi="仿宋" w:hint="eastAsia"/>
          <w:sz w:val="30"/>
          <w:szCs w:val="30"/>
        </w:rPr>
        <w:t>坚定不移发展</w:t>
      </w:r>
      <w:r w:rsidR="00035EB9">
        <w:rPr>
          <w:rFonts w:ascii="仿宋" w:eastAsia="仿宋" w:hAnsi="仿宋" w:hint="eastAsia"/>
          <w:sz w:val="30"/>
          <w:szCs w:val="30"/>
        </w:rPr>
        <w:t>光伏、风能等</w:t>
      </w:r>
      <w:r w:rsidR="006D3373">
        <w:rPr>
          <w:rFonts w:ascii="仿宋" w:eastAsia="仿宋" w:hAnsi="仿宋" w:hint="eastAsia"/>
          <w:sz w:val="30"/>
          <w:szCs w:val="30"/>
        </w:rPr>
        <w:t>新能源新技术，</w:t>
      </w:r>
      <w:r w:rsidR="00081FFF">
        <w:rPr>
          <w:rFonts w:ascii="仿宋" w:eastAsia="仿宋" w:hAnsi="仿宋" w:hint="eastAsia"/>
          <w:sz w:val="30"/>
          <w:szCs w:val="30"/>
        </w:rPr>
        <w:t>稳步推进</w:t>
      </w:r>
      <w:r w:rsidR="006D3373">
        <w:rPr>
          <w:rFonts w:ascii="仿宋" w:eastAsia="仿宋" w:hAnsi="仿宋" w:hint="eastAsia"/>
          <w:sz w:val="30"/>
          <w:szCs w:val="30"/>
        </w:rPr>
        <w:t>特高压</w:t>
      </w:r>
      <w:r w:rsidR="00081FFF">
        <w:rPr>
          <w:rFonts w:ascii="仿宋" w:eastAsia="仿宋" w:hAnsi="仿宋" w:hint="eastAsia"/>
          <w:sz w:val="30"/>
          <w:szCs w:val="30"/>
        </w:rPr>
        <w:t>建设</w:t>
      </w:r>
      <w:r w:rsidR="008118CA">
        <w:rPr>
          <w:rFonts w:ascii="仿宋" w:eastAsia="仿宋" w:hAnsi="仿宋" w:hint="eastAsia"/>
          <w:sz w:val="30"/>
          <w:szCs w:val="30"/>
        </w:rPr>
        <w:t>，保障国家能源安全。</w:t>
      </w:r>
    </w:p>
    <w:p w:rsidR="00FC5732" w:rsidRDefault="009A7404" w:rsidP="00FC5732">
      <w:pPr>
        <w:pStyle w:val="2"/>
        <w:numPr>
          <w:ilvl w:val="0"/>
          <w:numId w:val="5"/>
        </w:numPr>
        <w:spacing w:before="0" w:after="0" w:line="360" w:lineRule="auto"/>
        <w:ind w:firstLineChars="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lastRenderedPageBreak/>
        <w:t>以消费结构升级引导</w:t>
      </w:r>
      <w:r w:rsidR="00FC5732" w:rsidRPr="00FC5732">
        <w:rPr>
          <w:rFonts w:ascii="楷体_GB2312" w:eastAsia="楷体_GB2312" w:hAnsi="楷体" w:hint="eastAsia"/>
          <w:sz w:val="30"/>
          <w:szCs w:val="30"/>
        </w:rPr>
        <w:t>东部沿海产业结构升级</w:t>
      </w:r>
    </w:p>
    <w:p w:rsidR="00C31C14" w:rsidRDefault="003A6771" w:rsidP="00E465EF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逐步</w:t>
      </w:r>
      <w:r w:rsidR="009E5111">
        <w:rPr>
          <w:rFonts w:ascii="仿宋" w:eastAsia="仿宋" w:hAnsi="仿宋" w:hint="eastAsia"/>
          <w:sz w:val="30"/>
          <w:szCs w:val="30"/>
        </w:rPr>
        <w:t>放宽北上广深</w:t>
      </w:r>
      <w:r w:rsidR="00C34334">
        <w:rPr>
          <w:rFonts w:ascii="仿宋" w:eastAsia="仿宋" w:hAnsi="仿宋" w:hint="eastAsia"/>
          <w:sz w:val="30"/>
          <w:szCs w:val="30"/>
        </w:rPr>
        <w:t>落户</w:t>
      </w:r>
      <w:r w:rsidR="009E5111">
        <w:rPr>
          <w:rFonts w:ascii="仿宋" w:eastAsia="仿宋" w:hAnsi="仿宋" w:hint="eastAsia"/>
          <w:sz w:val="30"/>
          <w:szCs w:val="30"/>
        </w:rPr>
        <w:t>限制</w:t>
      </w:r>
      <w:r>
        <w:rPr>
          <w:rFonts w:ascii="仿宋" w:eastAsia="仿宋" w:hAnsi="仿宋" w:hint="eastAsia"/>
          <w:sz w:val="30"/>
          <w:szCs w:val="30"/>
        </w:rPr>
        <w:t>，</w:t>
      </w:r>
      <w:r w:rsidR="00B92F0A" w:rsidRPr="00B92F0A">
        <w:rPr>
          <w:rFonts w:ascii="仿宋" w:eastAsia="仿宋" w:hAnsi="仿宋" w:hint="eastAsia"/>
          <w:sz w:val="30"/>
          <w:szCs w:val="30"/>
        </w:rPr>
        <w:t>促进城乡区域间</w:t>
      </w:r>
      <w:r w:rsidR="00C31C14">
        <w:rPr>
          <w:rFonts w:ascii="仿宋" w:eastAsia="仿宋" w:hAnsi="仿宋" w:hint="eastAsia"/>
          <w:sz w:val="30"/>
          <w:szCs w:val="30"/>
        </w:rPr>
        <w:t>劳动力</w:t>
      </w:r>
      <w:r w:rsidR="00B92F0A" w:rsidRPr="00B92F0A">
        <w:rPr>
          <w:rFonts w:ascii="仿宋" w:eastAsia="仿宋" w:hAnsi="仿宋" w:hint="eastAsia"/>
          <w:sz w:val="30"/>
          <w:szCs w:val="30"/>
        </w:rPr>
        <w:t>自由流动</w:t>
      </w:r>
      <w:r w:rsidR="00681881">
        <w:rPr>
          <w:rFonts w:ascii="仿宋" w:eastAsia="仿宋" w:hAnsi="仿宋" w:hint="eastAsia"/>
          <w:sz w:val="30"/>
          <w:szCs w:val="30"/>
        </w:rPr>
        <w:t>，吸引海外人才和外籍华人</w:t>
      </w:r>
      <w:r w:rsidR="007328C6">
        <w:rPr>
          <w:rFonts w:ascii="仿宋" w:eastAsia="仿宋" w:hAnsi="仿宋" w:hint="eastAsia"/>
          <w:sz w:val="30"/>
          <w:szCs w:val="30"/>
        </w:rPr>
        <w:t>来华工作定居</w:t>
      </w:r>
      <w:r w:rsidR="00195228">
        <w:rPr>
          <w:rFonts w:ascii="仿宋" w:eastAsia="仿宋" w:hAnsi="仿宋" w:hint="eastAsia"/>
          <w:sz w:val="30"/>
          <w:szCs w:val="30"/>
        </w:rPr>
        <w:t>。研究</w:t>
      </w:r>
      <w:r w:rsidR="00EC23CA">
        <w:rPr>
          <w:rFonts w:ascii="仿宋" w:eastAsia="仿宋" w:hAnsi="仿宋" w:hint="eastAsia"/>
          <w:sz w:val="30"/>
          <w:szCs w:val="30"/>
        </w:rPr>
        <w:t>制定</w:t>
      </w:r>
      <w:r w:rsidR="00681881">
        <w:rPr>
          <w:rFonts w:ascii="仿宋" w:eastAsia="仿宋" w:hAnsi="仿宋" w:hint="eastAsia"/>
          <w:sz w:val="30"/>
          <w:szCs w:val="30"/>
        </w:rPr>
        <w:t>与</w:t>
      </w:r>
      <w:r w:rsidR="00C32B58">
        <w:rPr>
          <w:rFonts w:ascii="仿宋" w:eastAsia="仿宋" w:hAnsi="仿宋" w:hint="eastAsia"/>
          <w:sz w:val="30"/>
          <w:szCs w:val="30"/>
        </w:rPr>
        <w:t>生活成本和</w:t>
      </w:r>
      <w:r w:rsidR="00681881">
        <w:rPr>
          <w:rFonts w:ascii="仿宋" w:eastAsia="仿宋" w:hAnsi="仿宋" w:hint="eastAsia"/>
          <w:sz w:val="30"/>
          <w:szCs w:val="30"/>
        </w:rPr>
        <w:t>实际感受相匹配的</w:t>
      </w:r>
      <w:r w:rsidR="00593D56" w:rsidRPr="00593D56">
        <w:rPr>
          <w:rFonts w:ascii="仿宋" w:eastAsia="仿宋" w:hAnsi="仿宋" w:hint="eastAsia"/>
          <w:sz w:val="30"/>
          <w:szCs w:val="30"/>
        </w:rPr>
        <w:t>地区差异化</w:t>
      </w:r>
      <w:r w:rsidR="00593D56">
        <w:rPr>
          <w:rFonts w:ascii="仿宋" w:eastAsia="仿宋" w:hAnsi="仿宋" w:hint="eastAsia"/>
          <w:sz w:val="30"/>
          <w:szCs w:val="30"/>
        </w:rPr>
        <w:t>个税</w:t>
      </w:r>
      <w:r w:rsidR="00EC23CA">
        <w:rPr>
          <w:rFonts w:ascii="仿宋" w:eastAsia="仿宋" w:hAnsi="仿宋" w:hint="eastAsia"/>
          <w:sz w:val="30"/>
          <w:szCs w:val="30"/>
        </w:rPr>
        <w:t>制度</w:t>
      </w:r>
      <w:r w:rsidR="00071C40">
        <w:rPr>
          <w:rFonts w:ascii="仿宋" w:eastAsia="仿宋" w:hAnsi="仿宋" w:hint="eastAsia"/>
          <w:sz w:val="30"/>
          <w:szCs w:val="30"/>
        </w:rPr>
        <w:t>，</w:t>
      </w:r>
      <w:r w:rsidR="00C32B58">
        <w:rPr>
          <w:rFonts w:ascii="仿宋" w:eastAsia="仿宋" w:hAnsi="仿宋" w:hint="eastAsia"/>
          <w:sz w:val="30"/>
          <w:szCs w:val="30"/>
        </w:rPr>
        <w:t>减轻</w:t>
      </w:r>
      <w:r w:rsidR="00C34334">
        <w:rPr>
          <w:rFonts w:ascii="仿宋" w:eastAsia="仿宋" w:hAnsi="仿宋" w:hint="eastAsia"/>
          <w:sz w:val="30"/>
          <w:szCs w:val="30"/>
        </w:rPr>
        <w:t>大城市居民</w:t>
      </w:r>
      <w:proofErr w:type="gramStart"/>
      <w:r w:rsidR="00C34334">
        <w:rPr>
          <w:rFonts w:ascii="仿宋" w:eastAsia="仿宋" w:hAnsi="仿宋" w:hint="eastAsia"/>
          <w:sz w:val="30"/>
          <w:szCs w:val="30"/>
        </w:rPr>
        <w:t>个</w:t>
      </w:r>
      <w:proofErr w:type="gramEnd"/>
      <w:r w:rsidR="00C34334">
        <w:rPr>
          <w:rFonts w:ascii="仿宋" w:eastAsia="仿宋" w:hAnsi="仿宋" w:hint="eastAsia"/>
          <w:sz w:val="30"/>
          <w:szCs w:val="30"/>
        </w:rPr>
        <w:t>税负担</w:t>
      </w:r>
      <w:r w:rsidR="00681881">
        <w:rPr>
          <w:rFonts w:ascii="仿宋" w:eastAsia="仿宋" w:hAnsi="仿宋" w:hint="eastAsia"/>
          <w:sz w:val="30"/>
          <w:szCs w:val="30"/>
        </w:rPr>
        <w:t>，</w:t>
      </w:r>
      <w:r w:rsidR="00047F39">
        <w:rPr>
          <w:rFonts w:ascii="仿宋" w:eastAsia="仿宋" w:hAnsi="仿宋" w:hint="eastAsia"/>
          <w:sz w:val="30"/>
          <w:szCs w:val="30"/>
        </w:rPr>
        <w:t>培育</w:t>
      </w:r>
      <w:r w:rsidR="00B92F0A" w:rsidRPr="00B92F0A">
        <w:rPr>
          <w:rFonts w:ascii="仿宋" w:eastAsia="仿宋" w:hAnsi="仿宋" w:hint="eastAsia"/>
          <w:sz w:val="30"/>
          <w:szCs w:val="30"/>
        </w:rPr>
        <w:t>中等收入群体</w:t>
      </w:r>
      <w:r w:rsidR="004619FE">
        <w:rPr>
          <w:rFonts w:ascii="仿宋" w:eastAsia="仿宋" w:hAnsi="仿宋" w:hint="eastAsia"/>
          <w:sz w:val="30"/>
          <w:szCs w:val="30"/>
        </w:rPr>
        <w:t>，</w:t>
      </w:r>
      <w:r w:rsidR="003845FF">
        <w:rPr>
          <w:rFonts w:ascii="仿宋" w:eastAsia="仿宋" w:hAnsi="仿宋" w:hint="eastAsia"/>
          <w:sz w:val="30"/>
          <w:szCs w:val="30"/>
        </w:rPr>
        <w:t>释放</w:t>
      </w:r>
      <w:r w:rsidR="003845FF" w:rsidRPr="003845FF">
        <w:rPr>
          <w:rFonts w:ascii="仿宋" w:eastAsia="仿宋" w:hAnsi="仿宋" w:hint="eastAsia"/>
          <w:sz w:val="30"/>
          <w:szCs w:val="30"/>
        </w:rPr>
        <w:t>东部</w:t>
      </w:r>
      <w:r w:rsidR="00731DB0" w:rsidRPr="00731DB0">
        <w:rPr>
          <w:rFonts w:ascii="仿宋" w:eastAsia="仿宋" w:hAnsi="仿宋" w:hint="eastAsia"/>
          <w:sz w:val="30"/>
          <w:szCs w:val="30"/>
        </w:rPr>
        <w:t>沿海</w:t>
      </w:r>
      <w:r w:rsidR="003845FF">
        <w:rPr>
          <w:rFonts w:ascii="仿宋" w:eastAsia="仿宋" w:hAnsi="仿宋" w:hint="eastAsia"/>
          <w:sz w:val="30"/>
          <w:szCs w:val="30"/>
        </w:rPr>
        <w:t>消费潜力</w:t>
      </w:r>
      <w:r w:rsidR="00195228">
        <w:rPr>
          <w:rFonts w:ascii="仿宋" w:eastAsia="仿宋" w:hAnsi="仿宋" w:hint="eastAsia"/>
          <w:sz w:val="30"/>
          <w:szCs w:val="30"/>
        </w:rPr>
        <w:t>。</w:t>
      </w:r>
      <w:r w:rsidR="00461E9F">
        <w:rPr>
          <w:rFonts w:ascii="仿宋" w:eastAsia="仿宋" w:hAnsi="仿宋" w:hint="eastAsia"/>
          <w:sz w:val="30"/>
          <w:szCs w:val="30"/>
        </w:rPr>
        <w:t>探索</w:t>
      </w:r>
      <w:r>
        <w:rPr>
          <w:rFonts w:ascii="仿宋" w:eastAsia="仿宋" w:hAnsi="仿宋" w:hint="eastAsia"/>
          <w:sz w:val="30"/>
          <w:szCs w:val="30"/>
        </w:rPr>
        <w:t>在京津冀、粤港澳大湾区、长三角区域率先</w:t>
      </w:r>
      <w:r w:rsidR="00047F39" w:rsidRPr="00BC42F9">
        <w:rPr>
          <w:rFonts w:ascii="仿宋" w:eastAsia="仿宋" w:hAnsi="仿宋" w:hint="eastAsia"/>
          <w:sz w:val="30"/>
          <w:szCs w:val="30"/>
        </w:rPr>
        <w:t>建立房地产市场长效机制</w:t>
      </w:r>
      <w:r w:rsidR="00047F39">
        <w:rPr>
          <w:rFonts w:ascii="仿宋" w:eastAsia="仿宋" w:hAnsi="仿宋" w:hint="eastAsia"/>
          <w:sz w:val="30"/>
          <w:szCs w:val="30"/>
        </w:rPr>
        <w:t>，</w:t>
      </w:r>
      <w:r w:rsidR="00E465EF">
        <w:rPr>
          <w:rFonts w:ascii="仿宋" w:eastAsia="仿宋" w:hAnsi="仿宋" w:hint="eastAsia"/>
          <w:sz w:val="30"/>
          <w:szCs w:val="30"/>
        </w:rPr>
        <w:t>降低</w:t>
      </w:r>
      <w:r>
        <w:rPr>
          <w:rFonts w:ascii="仿宋" w:eastAsia="仿宋" w:hAnsi="仿宋" w:hint="eastAsia"/>
          <w:sz w:val="30"/>
          <w:szCs w:val="30"/>
        </w:rPr>
        <w:t>房地产</w:t>
      </w:r>
      <w:r w:rsidR="00E465EF">
        <w:rPr>
          <w:rFonts w:ascii="仿宋" w:eastAsia="仿宋" w:hAnsi="仿宋" w:hint="eastAsia"/>
          <w:sz w:val="30"/>
          <w:szCs w:val="30"/>
        </w:rPr>
        <w:t>对消费的挤出效应，</w:t>
      </w:r>
      <w:r w:rsidR="003845FF">
        <w:rPr>
          <w:rFonts w:ascii="仿宋" w:eastAsia="仿宋" w:hAnsi="仿宋" w:hint="eastAsia"/>
          <w:sz w:val="30"/>
          <w:szCs w:val="30"/>
        </w:rPr>
        <w:t>促进消费结构优化升级</w:t>
      </w:r>
      <w:r w:rsidR="00E465EF">
        <w:rPr>
          <w:rFonts w:ascii="仿宋" w:eastAsia="仿宋" w:hAnsi="仿宋" w:hint="eastAsia"/>
          <w:sz w:val="30"/>
          <w:szCs w:val="30"/>
        </w:rPr>
        <w:t>。</w:t>
      </w:r>
      <w:r w:rsidR="00F47B48">
        <w:rPr>
          <w:rFonts w:ascii="仿宋" w:eastAsia="仿宋" w:hAnsi="仿宋" w:hint="eastAsia"/>
          <w:sz w:val="30"/>
          <w:szCs w:val="30"/>
        </w:rPr>
        <w:t>巩固壮大东部沿海人口规模、生产规模</w:t>
      </w:r>
      <w:r w:rsidR="00B92F0A">
        <w:rPr>
          <w:rFonts w:ascii="仿宋" w:eastAsia="仿宋" w:hAnsi="仿宋" w:hint="eastAsia"/>
          <w:sz w:val="30"/>
          <w:szCs w:val="30"/>
        </w:rPr>
        <w:t>、</w:t>
      </w:r>
      <w:r w:rsidR="00731DB0">
        <w:rPr>
          <w:rFonts w:ascii="仿宋" w:eastAsia="仿宋" w:hAnsi="仿宋" w:hint="eastAsia"/>
          <w:sz w:val="30"/>
          <w:szCs w:val="30"/>
        </w:rPr>
        <w:t>经济</w:t>
      </w:r>
      <w:r w:rsidR="00B92F0A">
        <w:rPr>
          <w:rFonts w:ascii="仿宋" w:eastAsia="仿宋" w:hAnsi="仿宋" w:hint="eastAsia"/>
          <w:sz w:val="30"/>
          <w:szCs w:val="30"/>
        </w:rPr>
        <w:t>规模</w:t>
      </w:r>
      <w:r w:rsidR="00BD236A">
        <w:rPr>
          <w:rFonts w:ascii="仿宋" w:eastAsia="仿宋" w:hAnsi="仿宋" w:hint="eastAsia"/>
          <w:sz w:val="30"/>
          <w:szCs w:val="30"/>
        </w:rPr>
        <w:t>优势</w:t>
      </w:r>
      <w:r w:rsidR="00F47B48">
        <w:rPr>
          <w:rFonts w:ascii="仿宋" w:eastAsia="仿宋" w:hAnsi="仿宋" w:hint="eastAsia"/>
          <w:sz w:val="30"/>
          <w:szCs w:val="30"/>
        </w:rPr>
        <w:t>，</w:t>
      </w:r>
      <w:r w:rsidR="0060474F">
        <w:rPr>
          <w:rFonts w:ascii="仿宋" w:eastAsia="仿宋" w:hAnsi="仿宋" w:hint="eastAsia"/>
          <w:sz w:val="30"/>
          <w:szCs w:val="30"/>
        </w:rPr>
        <w:t>建设</w:t>
      </w:r>
      <w:r w:rsidR="00F47B48">
        <w:rPr>
          <w:rFonts w:ascii="仿宋" w:eastAsia="仿宋" w:hAnsi="仿宋" w:hint="eastAsia"/>
          <w:sz w:val="30"/>
          <w:szCs w:val="30"/>
        </w:rPr>
        <w:t>形成强大区域</w:t>
      </w:r>
      <w:r w:rsidR="009B0278">
        <w:rPr>
          <w:rFonts w:ascii="仿宋" w:eastAsia="仿宋" w:hAnsi="仿宋" w:hint="eastAsia"/>
          <w:sz w:val="30"/>
          <w:szCs w:val="30"/>
        </w:rPr>
        <w:t>一体化</w:t>
      </w:r>
      <w:r w:rsidR="00F47B48">
        <w:rPr>
          <w:rFonts w:ascii="仿宋" w:eastAsia="仿宋" w:hAnsi="仿宋" w:hint="eastAsia"/>
          <w:sz w:val="30"/>
          <w:szCs w:val="30"/>
        </w:rPr>
        <w:t>市场</w:t>
      </w:r>
      <w:r w:rsidR="00F4221B">
        <w:rPr>
          <w:rFonts w:ascii="仿宋" w:eastAsia="仿宋" w:hAnsi="仿宋" w:hint="eastAsia"/>
          <w:sz w:val="30"/>
          <w:szCs w:val="30"/>
        </w:rPr>
        <w:t>，</w:t>
      </w:r>
      <w:r w:rsidR="007040DD" w:rsidRPr="007040DD">
        <w:rPr>
          <w:rFonts w:ascii="仿宋" w:eastAsia="仿宋" w:hAnsi="仿宋" w:hint="eastAsia"/>
          <w:sz w:val="30"/>
          <w:szCs w:val="30"/>
        </w:rPr>
        <w:t>发挥</w:t>
      </w:r>
      <w:r w:rsidR="00461E9F">
        <w:rPr>
          <w:rFonts w:ascii="仿宋" w:eastAsia="仿宋" w:hAnsi="仿宋" w:hint="eastAsia"/>
          <w:sz w:val="30"/>
          <w:szCs w:val="30"/>
        </w:rPr>
        <w:t>规模</w:t>
      </w:r>
      <w:r w:rsidR="007328C6">
        <w:rPr>
          <w:rFonts w:ascii="仿宋" w:eastAsia="仿宋" w:hAnsi="仿宋" w:hint="eastAsia"/>
          <w:sz w:val="30"/>
          <w:szCs w:val="30"/>
        </w:rPr>
        <w:t>效应</w:t>
      </w:r>
      <w:r w:rsidR="007040DD" w:rsidRPr="007040DD">
        <w:rPr>
          <w:rFonts w:ascii="仿宋" w:eastAsia="仿宋" w:hAnsi="仿宋" w:hint="eastAsia"/>
          <w:sz w:val="30"/>
          <w:szCs w:val="30"/>
        </w:rPr>
        <w:t>对配套要求高、产品更新周期短、应用创新特征明显类产业的</w:t>
      </w:r>
      <w:r w:rsidR="00F47B48">
        <w:rPr>
          <w:rFonts w:ascii="仿宋" w:eastAsia="仿宋" w:hAnsi="仿宋" w:hint="eastAsia"/>
          <w:sz w:val="30"/>
          <w:szCs w:val="30"/>
        </w:rPr>
        <w:t>独特</w:t>
      </w:r>
      <w:r w:rsidR="007040DD" w:rsidRPr="007040DD">
        <w:rPr>
          <w:rFonts w:ascii="仿宋" w:eastAsia="仿宋" w:hAnsi="仿宋" w:hint="eastAsia"/>
          <w:sz w:val="30"/>
          <w:szCs w:val="30"/>
        </w:rPr>
        <w:t>培育促进作用，</w:t>
      </w:r>
      <w:r w:rsidR="00C31C14" w:rsidRPr="007040DD">
        <w:rPr>
          <w:rFonts w:ascii="仿宋" w:eastAsia="仿宋" w:hAnsi="仿宋" w:hint="eastAsia"/>
          <w:sz w:val="30"/>
          <w:szCs w:val="30"/>
        </w:rPr>
        <w:t>以消费结构升级引导产业结构升级和技术进步</w:t>
      </w:r>
      <w:r w:rsidR="00C31C14">
        <w:rPr>
          <w:rFonts w:ascii="仿宋" w:eastAsia="仿宋" w:hAnsi="仿宋" w:hint="eastAsia"/>
          <w:sz w:val="30"/>
          <w:szCs w:val="30"/>
        </w:rPr>
        <w:t>，</w:t>
      </w:r>
      <w:r w:rsidR="00731DB0">
        <w:rPr>
          <w:rFonts w:ascii="仿宋" w:eastAsia="仿宋" w:hAnsi="仿宋" w:hint="eastAsia"/>
          <w:sz w:val="30"/>
          <w:szCs w:val="30"/>
        </w:rPr>
        <w:t>推动制造业高质量发展，推进先进制造业与现代服务业深度融合</w:t>
      </w:r>
      <w:r w:rsidR="00C31C14" w:rsidRPr="00C31C14">
        <w:rPr>
          <w:rFonts w:ascii="仿宋" w:eastAsia="仿宋" w:hAnsi="仿宋" w:hint="eastAsia"/>
          <w:sz w:val="30"/>
          <w:szCs w:val="30"/>
        </w:rPr>
        <w:t>。</w:t>
      </w:r>
    </w:p>
    <w:sectPr w:rsidR="00C3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1D" w:rsidRDefault="00B95E1D" w:rsidP="00541111">
      <w:r>
        <w:separator/>
      </w:r>
    </w:p>
  </w:endnote>
  <w:endnote w:type="continuationSeparator" w:id="0">
    <w:p w:rsidR="00B95E1D" w:rsidRDefault="00B95E1D" w:rsidP="0054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1D" w:rsidRDefault="00B95E1D" w:rsidP="00541111">
      <w:r>
        <w:separator/>
      </w:r>
    </w:p>
  </w:footnote>
  <w:footnote w:type="continuationSeparator" w:id="0">
    <w:p w:rsidR="00B95E1D" w:rsidRDefault="00B95E1D" w:rsidP="00541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716"/>
    <w:multiLevelType w:val="hybridMultilevel"/>
    <w:tmpl w:val="4322D28E"/>
    <w:lvl w:ilvl="0" w:tplc="5DFABF58">
      <w:start w:val="1"/>
      <w:numFmt w:val="japaneseCounting"/>
      <w:lvlText w:val="（%1）"/>
      <w:lvlJc w:val="left"/>
      <w:pPr>
        <w:ind w:left="1532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196734E5"/>
    <w:multiLevelType w:val="hybridMultilevel"/>
    <w:tmpl w:val="4322D28E"/>
    <w:lvl w:ilvl="0" w:tplc="5DFABF58">
      <w:start w:val="1"/>
      <w:numFmt w:val="japaneseCounting"/>
      <w:lvlText w:val="（%1）"/>
      <w:lvlJc w:val="left"/>
      <w:pPr>
        <w:ind w:left="1532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2FC273B9"/>
    <w:multiLevelType w:val="hybridMultilevel"/>
    <w:tmpl w:val="C4D0D50C"/>
    <w:lvl w:ilvl="0" w:tplc="E0327E18">
      <w:start w:val="1"/>
      <w:numFmt w:val="japaneseCounting"/>
      <w:lvlText w:val="%1、"/>
      <w:lvlJc w:val="left"/>
      <w:pPr>
        <w:ind w:left="1280" w:hanging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51701A3"/>
    <w:multiLevelType w:val="hybridMultilevel"/>
    <w:tmpl w:val="B7C6DE96"/>
    <w:lvl w:ilvl="0" w:tplc="A7982390">
      <w:start w:val="1"/>
      <w:numFmt w:val="japaneseCounting"/>
      <w:lvlText w:val="（%1）"/>
      <w:lvlJc w:val="left"/>
      <w:pPr>
        <w:ind w:left="1525" w:hanging="92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 w15:restartNumberingAfterBreak="0">
    <w:nsid w:val="65A1254F"/>
    <w:multiLevelType w:val="hybridMultilevel"/>
    <w:tmpl w:val="C4D0D50C"/>
    <w:lvl w:ilvl="0" w:tplc="E0327E18">
      <w:start w:val="1"/>
      <w:numFmt w:val="japaneseCounting"/>
      <w:lvlText w:val="%1、"/>
      <w:lvlJc w:val="left"/>
      <w:pPr>
        <w:ind w:left="1280" w:hanging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0A"/>
    <w:rsid w:val="00005268"/>
    <w:rsid w:val="0000749E"/>
    <w:rsid w:val="0001001E"/>
    <w:rsid w:val="00011EEE"/>
    <w:rsid w:val="00015967"/>
    <w:rsid w:val="00017578"/>
    <w:rsid w:val="00030049"/>
    <w:rsid w:val="00030737"/>
    <w:rsid w:val="00031BBD"/>
    <w:rsid w:val="0003520A"/>
    <w:rsid w:val="00035EB9"/>
    <w:rsid w:val="00036E98"/>
    <w:rsid w:val="000431CC"/>
    <w:rsid w:val="00043D06"/>
    <w:rsid w:val="00045062"/>
    <w:rsid w:val="00047F39"/>
    <w:rsid w:val="0005142C"/>
    <w:rsid w:val="000550D4"/>
    <w:rsid w:val="0006140E"/>
    <w:rsid w:val="000632F9"/>
    <w:rsid w:val="00063F48"/>
    <w:rsid w:val="000668EF"/>
    <w:rsid w:val="00066BD8"/>
    <w:rsid w:val="00066F20"/>
    <w:rsid w:val="000675E7"/>
    <w:rsid w:val="00067A73"/>
    <w:rsid w:val="00071C40"/>
    <w:rsid w:val="00074EA8"/>
    <w:rsid w:val="00080A60"/>
    <w:rsid w:val="00081FFF"/>
    <w:rsid w:val="00083D1D"/>
    <w:rsid w:val="00084B4C"/>
    <w:rsid w:val="00086521"/>
    <w:rsid w:val="00090E16"/>
    <w:rsid w:val="00092365"/>
    <w:rsid w:val="000929CC"/>
    <w:rsid w:val="00094155"/>
    <w:rsid w:val="000979B2"/>
    <w:rsid w:val="000A2133"/>
    <w:rsid w:val="000A2FA4"/>
    <w:rsid w:val="000A3750"/>
    <w:rsid w:val="000A4A9C"/>
    <w:rsid w:val="000A5B5A"/>
    <w:rsid w:val="000A5F61"/>
    <w:rsid w:val="000B0AD1"/>
    <w:rsid w:val="000B1CDB"/>
    <w:rsid w:val="000B5589"/>
    <w:rsid w:val="000B5A0D"/>
    <w:rsid w:val="000C03BC"/>
    <w:rsid w:val="000C4E0C"/>
    <w:rsid w:val="000D7572"/>
    <w:rsid w:val="000E312B"/>
    <w:rsid w:val="000E422C"/>
    <w:rsid w:val="000E5BAB"/>
    <w:rsid w:val="000E629D"/>
    <w:rsid w:val="000F4C5B"/>
    <w:rsid w:val="000F5197"/>
    <w:rsid w:val="0010058A"/>
    <w:rsid w:val="00103CCE"/>
    <w:rsid w:val="00103D32"/>
    <w:rsid w:val="00104A19"/>
    <w:rsid w:val="001062C5"/>
    <w:rsid w:val="00107FF1"/>
    <w:rsid w:val="00112568"/>
    <w:rsid w:val="00115FBC"/>
    <w:rsid w:val="001207C2"/>
    <w:rsid w:val="00121A99"/>
    <w:rsid w:val="00122338"/>
    <w:rsid w:val="00124766"/>
    <w:rsid w:val="00124820"/>
    <w:rsid w:val="00124950"/>
    <w:rsid w:val="00125009"/>
    <w:rsid w:val="0012560A"/>
    <w:rsid w:val="00126821"/>
    <w:rsid w:val="001274B2"/>
    <w:rsid w:val="0012753F"/>
    <w:rsid w:val="00131399"/>
    <w:rsid w:val="00131C4C"/>
    <w:rsid w:val="0013273E"/>
    <w:rsid w:val="001360A0"/>
    <w:rsid w:val="00144758"/>
    <w:rsid w:val="00145EF6"/>
    <w:rsid w:val="0015025F"/>
    <w:rsid w:val="00154AE4"/>
    <w:rsid w:val="00155720"/>
    <w:rsid w:val="00162855"/>
    <w:rsid w:val="00163C52"/>
    <w:rsid w:val="00164A59"/>
    <w:rsid w:val="00164C9D"/>
    <w:rsid w:val="00165E32"/>
    <w:rsid w:val="0016738B"/>
    <w:rsid w:val="00167E0D"/>
    <w:rsid w:val="001726CD"/>
    <w:rsid w:val="001769E4"/>
    <w:rsid w:val="00184269"/>
    <w:rsid w:val="0019312B"/>
    <w:rsid w:val="001944DB"/>
    <w:rsid w:val="00195228"/>
    <w:rsid w:val="001A3322"/>
    <w:rsid w:val="001A4A3A"/>
    <w:rsid w:val="001B3EBF"/>
    <w:rsid w:val="001B45C8"/>
    <w:rsid w:val="001B64DD"/>
    <w:rsid w:val="001B686C"/>
    <w:rsid w:val="001B78B0"/>
    <w:rsid w:val="001B7A53"/>
    <w:rsid w:val="001C16B4"/>
    <w:rsid w:val="001C2CBB"/>
    <w:rsid w:val="001C431F"/>
    <w:rsid w:val="001C4755"/>
    <w:rsid w:val="001D1509"/>
    <w:rsid w:val="001D3129"/>
    <w:rsid w:val="001D4BD8"/>
    <w:rsid w:val="001D600F"/>
    <w:rsid w:val="001D7BD2"/>
    <w:rsid w:val="001E2E99"/>
    <w:rsid w:val="001E5C0E"/>
    <w:rsid w:val="001E7457"/>
    <w:rsid w:val="001E7908"/>
    <w:rsid w:val="001F2157"/>
    <w:rsid w:val="001F2513"/>
    <w:rsid w:val="001F3240"/>
    <w:rsid w:val="001F364E"/>
    <w:rsid w:val="001F3A48"/>
    <w:rsid w:val="001F3A4C"/>
    <w:rsid w:val="001F524A"/>
    <w:rsid w:val="00201934"/>
    <w:rsid w:val="00202419"/>
    <w:rsid w:val="00202B21"/>
    <w:rsid w:val="0020495A"/>
    <w:rsid w:val="0020593A"/>
    <w:rsid w:val="00214667"/>
    <w:rsid w:val="002159A2"/>
    <w:rsid w:val="00220319"/>
    <w:rsid w:val="00225DBE"/>
    <w:rsid w:val="002266C9"/>
    <w:rsid w:val="00230812"/>
    <w:rsid w:val="00230C8A"/>
    <w:rsid w:val="00230EAD"/>
    <w:rsid w:val="00232349"/>
    <w:rsid w:val="00233297"/>
    <w:rsid w:val="002350C8"/>
    <w:rsid w:val="00237D49"/>
    <w:rsid w:val="0024273B"/>
    <w:rsid w:val="00243850"/>
    <w:rsid w:val="00244022"/>
    <w:rsid w:val="00244CA2"/>
    <w:rsid w:val="002472C3"/>
    <w:rsid w:val="002478ED"/>
    <w:rsid w:val="00247B76"/>
    <w:rsid w:val="00247D3E"/>
    <w:rsid w:val="00250F50"/>
    <w:rsid w:val="0025616B"/>
    <w:rsid w:val="00256FCC"/>
    <w:rsid w:val="00260E37"/>
    <w:rsid w:val="002616EC"/>
    <w:rsid w:val="00263FE9"/>
    <w:rsid w:val="00264504"/>
    <w:rsid w:val="0027443A"/>
    <w:rsid w:val="00274731"/>
    <w:rsid w:val="00275AB1"/>
    <w:rsid w:val="00277116"/>
    <w:rsid w:val="002819A7"/>
    <w:rsid w:val="00281A87"/>
    <w:rsid w:val="0028364A"/>
    <w:rsid w:val="00293526"/>
    <w:rsid w:val="002939C1"/>
    <w:rsid w:val="0029567C"/>
    <w:rsid w:val="002A236A"/>
    <w:rsid w:val="002A55AE"/>
    <w:rsid w:val="002B0057"/>
    <w:rsid w:val="002B20E8"/>
    <w:rsid w:val="002B37E6"/>
    <w:rsid w:val="002C2D6F"/>
    <w:rsid w:val="002D3DC8"/>
    <w:rsid w:val="002D6257"/>
    <w:rsid w:val="002E00BA"/>
    <w:rsid w:val="002E2B5B"/>
    <w:rsid w:val="002E385E"/>
    <w:rsid w:val="002E4CD8"/>
    <w:rsid w:val="002E586C"/>
    <w:rsid w:val="002F02B8"/>
    <w:rsid w:val="002F0A2B"/>
    <w:rsid w:val="002F1C58"/>
    <w:rsid w:val="002F2134"/>
    <w:rsid w:val="002F30E1"/>
    <w:rsid w:val="002F54FE"/>
    <w:rsid w:val="00301789"/>
    <w:rsid w:val="003035B9"/>
    <w:rsid w:val="00304B89"/>
    <w:rsid w:val="00310E61"/>
    <w:rsid w:val="00311CDF"/>
    <w:rsid w:val="00317027"/>
    <w:rsid w:val="00320CF6"/>
    <w:rsid w:val="00321474"/>
    <w:rsid w:val="00322001"/>
    <w:rsid w:val="0032253A"/>
    <w:rsid w:val="00322BCD"/>
    <w:rsid w:val="00325A0E"/>
    <w:rsid w:val="00326168"/>
    <w:rsid w:val="00330E0E"/>
    <w:rsid w:val="0033123F"/>
    <w:rsid w:val="00332772"/>
    <w:rsid w:val="00332E63"/>
    <w:rsid w:val="00333F6B"/>
    <w:rsid w:val="00341FE3"/>
    <w:rsid w:val="003425D0"/>
    <w:rsid w:val="00343A7D"/>
    <w:rsid w:val="003447F5"/>
    <w:rsid w:val="00345ED3"/>
    <w:rsid w:val="003476CD"/>
    <w:rsid w:val="003548BF"/>
    <w:rsid w:val="00354FC3"/>
    <w:rsid w:val="00355972"/>
    <w:rsid w:val="00360D28"/>
    <w:rsid w:val="00360E3C"/>
    <w:rsid w:val="00365F89"/>
    <w:rsid w:val="003667F9"/>
    <w:rsid w:val="003711D6"/>
    <w:rsid w:val="003734EC"/>
    <w:rsid w:val="00374563"/>
    <w:rsid w:val="00376583"/>
    <w:rsid w:val="00380331"/>
    <w:rsid w:val="00380D59"/>
    <w:rsid w:val="00380EFF"/>
    <w:rsid w:val="00382B13"/>
    <w:rsid w:val="00383447"/>
    <w:rsid w:val="00383531"/>
    <w:rsid w:val="003845FF"/>
    <w:rsid w:val="003869F8"/>
    <w:rsid w:val="00394C76"/>
    <w:rsid w:val="00395D69"/>
    <w:rsid w:val="00396375"/>
    <w:rsid w:val="003A59E5"/>
    <w:rsid w:val="003A59FB"/>
    <w:rsid w:val="003A6771"/>
    <w:rsid w:val="003A6A8C"/>
    <w:rsid w:val="003B2409"/>
    <w:rsid w:val="003B2E51"/>
    <w:rsid w:val="003B5124"/>
    <w:rsid w:val="003B6AA8"/>
    <w:rsid w:val="003B7710"/>
    <w:rsid w:val="003C0CE5"/>
    <w:rsid w:val="003C2C69"/>
    <w:rsid w:val="003C331D"/>
    <w:rsid w:val="003C5284"/>
    <w:rsid w:val="003C57F0"/>
    <w:rsid w:val="003D4796"/>
    <w:rsid w:val="003D565E"/>
    <w:rsid w:val="003D6A84"/>
    <w:rsid w:val="003D6DF9"/>
    <w:rsid w:val="003E181D"/>
    <w:rsid w:val="003E2322"/>
    <w:rsid w:val="003E3C1B"/>
    <w:rsid w:val="003E405E"/>
    <w:rsid w:val="003F0AAC"/>
    <w:rsid w:val="003F2D89"/>
    <w:rsid w:val="003F4F57"/>
    <w:rsid w:val="003F5098"/>
    <w:rsid w:val="003F551F"/>
    <w:rsid w:val="003F6609"/>
    <w:rsid w:val="00400A1B"/>
    <w:rsid w:val="00401E80"/>
    <w:rsid w:val="00402538"/>
    <w:rsid w:val="00405354"/>
    <w:rsid w:val="00412CF0"/>
    <w:rsid w:val="00413A6C"/>
    <w:rsid w:val="004168A7"/>
    <w:rsid w:val="00416C41"/>
    <w:rsid w:val="00417BB8"/>
    <w:rsid w:val="004200B3"/>
    <w:rsid w:val="0042027D"/>
    <w:rsid w:val="00420B2B"/>
    <w:rsid w:val="00421853"/>
    <w:rsid w:val="0042441F"/>
    <w:rsid w:val="0042531F"/>
    <w:rsid w:val="004259AF"/>
    <w:rsid w:val="00426BDE"/>
    <w:rsid w:val="004334E7"/>
    <w:rsid w:val="00437E5C"/>
    <w:rsid w:val="004428C4"/>
    <w:rsid w:val="00447ACA"/>
    <w:rsid w:val="004503B1"/>
    <w:rsid w:val="004503C1"/>
    <w:rsid w:val="0045083A"/>
    <w:rsid w:val="00450C36"/>
    <w:rsid w:val="00451017"/>
    <w:rsid w:val="00452961"/>
    <w:rsid w:val="0045570E"/>
    <w:rsid w:val="0045580B"/>
    <w:rsid w:val="00456D24"/>
    <w:rsid w:val="004619FE"/>
    <w:rsid w:val="00461E9F"/>
    <w:rsid w:val="00466490"/>
    <w:rsid w:val="00466514"/>
    <w:rsid w:val="00466881"/>
    <w:rsid w:val="00467E0E"/>
    <w:rsid w:val="0047013A"/>
    <w:rsid w:val="00471E0A"/>
    <w:rsid w:val="00473132"/>
    <w:rsid w:val="00474CFC"/>
    <w:rsid w:val="004762B9"/>
    <w:rsid w:val="004827F7"/>
    <w:rsid w:val="00482B1B"/>
    <w:rsid w:val="004832D3"/>
    <w:rsid w:val="004853EE"/>
    <w:rsid w:val="00486264"/>
    <w:rsid w:val="00487E12"/>
    <w:rsid w:val="00487EE3"/>
    <w:rsid w:val="00491352"/>
    <w:rsid w:val="00496280"/>
    <w:rsid w:val="00497F33"/>
    <w:rsid w:val="004A009F"/>
    <w:rsid w:val="004A1C28"/>
    <w:rsid w:val="004A3395"/>
    <w:rsid w:val="004A3411"/>
    <w:rsid w:val="004A3B7E"/>
    <w:rsid w:val="004A4B32"/>
    <w:rsid w:val="004A57D3"/>
    <w:rsid w:val="004A6C48"/>
    <w:rsid w:val="004B15A9"/>
    <w:rsid w:val="004B3FEB"/>
    <w:rsid w:val="004B47E1"/>
    <w:rsid w:val="004B4E40"/>
    <w:rsid w:val="004B6C10"/>
    <w:rsid w:val="004C182C"/>
    <w:rsid w:val="004C2EED"/>
    <w:rsid w:val="004C2F4A"/>
    <w:rsid w:val="004C351C"/>
    <w:rsid w:val="004C4B9A"/>
    <w:rsid w:val="004C55DC"/>
    <w:rsid w:val="004C55E7"/>
    <w:rsid w:val="004C5EC8"/>
    <w:rsid w:val="004C78C5"/>
    <w:rsid w:val="004C7A67"/>
    <w:rsid w:val="004D2DC9"/>
    <w:rsid w:val="004E039D"/>
    <w:rsid w:val="004E1659"/>
    <w:rsid w:val="004E3DBE"/>
    <w:rsid w:val="004E5A40"/>
    <w:rsid w:val="004E6FE1"/>
    <w:rsid w:val="004F4922"/>
    <w:rsid w:val="00500652"/>
    <w:rsid w:val="00504345"/>
    <w:rsid w:val="00511848"/>
    <w:rsid w:val="00514AC3"/>
    <w:rsid w:val="00516639"/>
    <w:rsid w:val="005248AF"/>
    <w:rsid w:val="00524F4B"/>
    <w:rsid w:val="00530659"/>
    <w:rsid w:val="00532D12"/>
    <w:rsid w:val="00533A39"/>
    <w:rsid w:val="00533D86"/>
    <w:rsid w:val="00534321"/>
    <w:rsid w:val="00535ABE"/>
    <w:rsid w:val="0053660C"/>
    <w:rsid w:val="00537370"/>
    <w:rsid w:val="00537722"/>
    <w:rsid w:val="00541111"/>
    <w:rsid w:val="00541E23"/>
    <w:rsid w:val="00541E4F"/>
    <w:rsid w:val="0054379A"/>
    <w:rsid w:val="00545B91"/>
    <w:rsid w:val="00546F67"/>
    <w:rsid w:val="00547599"/>
    <w:rsid w:val="005500AB"/>
    <w:rsid w:val="00550A1C"/>
    <w:rsid w:val="005514CD"/>
    <w:rsid w:val="0055419F"/>
    <w:rsid w:val="005546A8"/>
    <w:rsid w:val="00554BE1"/>
    <w:rsid w:val="00557B99"/>
    <w:rsid w:val="00560DB8"/>
    <w:rsid w:val="00562814"/>
    <w:rsid w:val="0056786C"/>
    <w:rsid w:val="005701A4"/>
    <w:rsid w:val="00572906"/>
    <w:rsid w:val="00573AD2"/>
    <w:rsid w:val="00575BEE"/>
    <w:rsid w:val="00576280"/>
    <w:rsid w:val="00576840"/>
    <w:rsid w:val="00583BE9"/>
    <w:rsid w:val="00586EDD"/>
    <w:rsid w:val="005903A7"/>
    <w:rsid w:val="00592E86"/>
    <w:rsid w:val="00593D56"/>
    <w:rsid w:val="005948EE"/>
    <w:rsid w:val="00594DEC"/>
    <w:rsid w:val="00596577"/>
    <w:rsid w:val="005A00CE"/>
    <w:rsid w:val="005A1F20"/>
    <w:rsid w:val="005A2B74"/>
    <w:rsid w:val="005A4068"/>
    <w:rsid w:val="005B183E"/>
    <w:rsid w:val="005B2CDC"/>
    <w:rsid w:val="005B2DD6"/>
    <w:rsid w:val="005B368A"/>
    <w:rsid w:val="005B383C"/>
    <w:rsid w:val="005B4544"/>
    <w:rsid w:val="005B4B9C"/>
    <w:rsid w:val="005B599B"/>
    <w:rsid w:val="005B7C11"/>
    <w:rsid w:val="005B7D63"/>
    <w:rsid w:val="005C0CF8"/>
    <w:rsid w:val="005C116C"/>
    <w:rsid w:val="005C2B99"/>
    <w:rsid w:val="005C58FD"/>
    <w:rsid w:val="005D0F1D"/>
    <w:rsid w:val="005D124B"/>
    <w:rsid w:val="005D1F2F"/>
    <w:rsid w:val="005D5005"/>
    <w:rsid w:val="005E5B84"/>
    <w:rsid w:val="005E5C9C"/>
    <w:rsid w:val="005E65FB"/>
    <w:rsid w:val="005E7289"/>
    <w:rsid w:val="005F13E5"/>
    <w:rsid w:val="005F1640"/>
    <w:rsid w:val="005F2D68"/>
    <w:rsid w:val="005F75ED"/>
    <w:rsid w:val="0060474F"/>
    <w:rsid w:val="00605A97"/>
    <w:rsid w:val="0061268E"/>
    <w:rsid w:val="006166C8"/>
    <w:rsid w:val="00616F78"/>
    <w:rsid w:val="00617A85"/>
    <w:rsid w:val="0062039A"/>
    <w:rsid w:val="006209A7"/>
    <w:rsid w:val="00625100"/>
    <w:rsid w:val="00631A2F"/>
    <w:rsid w:val="006322EF"/>
    <w:rsid w:val="00632462"/>
    <w:rsid w:val="00632755"/>
    <w:rsid w:val="0063295F"/>
    <w:rsid w:val="00637790"/>
    <w:rsid w:val="00640740"/>
    <w:rsid w:val="00642D61"/>
    <w:rsid w:val="00644F0F"/>
    <w:rsid w:val="006462BD"/>
    <w:rsid w:val="00651496"/>
    <w:rsid w:val="006517C4"/>
    <w:rsid w:val="006538B8"/>
    <w:rsid w:val="00653CDD"/>
    <w:rsid w:val="006549C7"/>
    <w:rsid w:val="0066347D"/>
    <w:rsid w:val="0066586E"/>
    <w:rsid w:val="00671ED5"/>
    <w:rsid w:val="0067400E"/>
    <w:rsid w:val="00677783"/>
    <w:rsid w:val="00677AFE"/>
    <w:rsid w:val="00677B4C"/>
    <w:rsid w:val="00680E0F"/>
    <w:rsid w:val="00681881"/>
    <w:rsid w:val="00684148"/>
    <w:rsid w:val="00684DB1"/>
    <w:rsid w:val="006868D4"/>
    <w:rsid w:val="0069148F"/>
    <w:rsid w:val="006A03CE"/>
    <w:rsid w:val="006A1995"/>
    <w:rsid w:val="006A38E1"/>
    <w:rsid w:val="006A46B1"/>
    <w:rsid w:val="006A5167"/>
    <w:rsid w:val="006A5CFA"/>
    <w:rsid w:val="006A6D15"/>
    <w:rsid w:val="006A73C8"/>
    <w:rsid w:val="006B261C"/>
    <w:rsid w:val="006B6952"/>
    <w:rsid w:val="006C5E79"/>
    <w:rsid w:val="006C6387"/>
    <w:rsid w:val="006C6AD6"/>
    <w:rsid w:val="006D01BD"/>
    <w:rsid w:val="006D0776"/>
    <w:rsid w:val="006D3373"/>
    <w:rsid w:val="006D4588"/>
    <w:rsid w:val="006D70A6"/>
    <w:rsid w:val="006E29DA"/>
    <w:rsid w:val="006E2FE2"/>
    <w:rsid w:val="006E499B"/>
    <w:rsid w:val="006E4E24"/>
    <w:rsid w:val="006E685F"/>
    <w:rsid w:val="006E7E49"/>
    <w:rsid w:val="006F14F0"/>
    <w:rsid w:val="006F2D68"/>
    <w:rsid w:val="006F40E1"/>
    <w:rsid w:val="006F5543"/>
    <w:rsid w:val="006F7016"/>
    <w:rsid w:val="00701110"/>
    <w:rsid w:val="007040DD"/>
    <w:rsid w:val="007045C9"/>
    <w:rsid w:val="007103D1"/>
    <w:rsid w:val="00712DB9"/>
    <w:rsid w:val="00721F1C"/>
    <w:rsid w:val="007231C4"/>
    <w:rsid w:val="00724AA1"/>
    <w:rsid w:val="00725F3F"/>
    <w:rsid w:val="00727FF8"/>
    <w:rsid w:val="00731DB0"/>
    <w:rsid w:val="007328C6"/>
    <w:rsid w:val="007335C8"/>
    <w:rsid w:val="00734CE9"/>
    <w:rsid w:val="00735733"/>
    <w:rsid w:val="00736D16"/>
    <w:rsid w:val="00744083"/>
    <w:rsid w:val="00747B92"/>
    <w:rsid w:val="00747C60"/>
    <w:rsid w:val="00750961"/>
    <w:rsid w:val="00751ECD"/>
    <w:rsid w:val="0075242E"/>
    <w:rsid w:val="0075331C"/>
    <w:rsid w:val="007544CE"/>
    <w:rsid w:val="00754D7D"/>
    <w:rsid w:val="00755306"/>
    <w:rsid w:val="00757982"/>
    <w:rsid w:val="00760662"/>
    <w:rsid w:val="00762B64"/>
    <w:rsid w:val="00762E61"/>
    <w:rsid w:val="0076346D"/>
    <w:rsid w:val="00772384"/>
    <w:rsid w:val="007732F2"/>
    <w:rsid w:val="007741EE"/>
    <w:rsid w:val="00774961"/>
    <w:rsid w:val="0077701E"/>
    <w:rsid w:val="00777B6F"/>
    <w:rsid w:val="00785684"/>
    <w:rsid w:val="007874FA"/>
    <w:rsid w:val="00791B06"/>
    <w:rsid w:val="0079250A"/>
    <w:rsid w:val="00795510"/>
    <w:rsid w:val="00795713"/>
    <w:rsid w:val="00795E33"/>
    <w:rsid w:val="0079777E"/>
    <w:rsid w:val="007A681B"/>
    <w:rsid w:val="007B3307"/>
    <w:rsid w:val="007B52E9"/>
    <w:rsid w:val="007B64E1"/>
    <w:rsid w:val="007B760D"/>
    <w:rsid w:val="007B7747"/>
    <w:rsid w:val="007C04ED"/>
    <w:rsid w:val="007C27AA"/>
    <w:rsid w:val="007C5F78"/>
    <w:rsid w:val="007C696A"/>
    <w:rsid w:val="007D0776"/>
    <w:rsid w:val="007D0E56"/>
    <w:rsid w:val="007D5C37"/>
    <w:rsid w:val="007D7A97"/>
    <w:rsid w:val="007D7F70"/>
    <w:rsid w:val="007E2060"/>
    <w:rsid w:val="007E3EC9"/>
    <w:rsid w:val="007E42DA"/>
    <w:rsid w:val="007F273A"/>
    <w:rsid w:val="008001D2"/>
    <w:rsid w:val="00800D7D"/>
    <w:rsid w:val="00803BD0"/>
    <w:rsid w:val="0080450E"/>
    <w:rsid w:val="00807C3B"/>
    <w:rsid w:val="00807D1F"/>
    <w:rsid w:val="008118CA"/>
    <w:rsid w:val="00811C9F"/>
    <w:rsid w:val="008149D6"/>
    <w:rsid w:val="00814E78"/>
    <w:rsid w:val="008161A5"/>
    <w:rsid w:val="008173A5"/>
    <w:rsid w:val="0081771C"/>
    <w:rsid w:val="0081791F"/>
    <w:rsid w:val="0082027D"/>
    <w:rsid w:val="00821198"/>
    <w:rsid w:val="00824DE0"/>
    <w:rsid w:val="00825FE0"/>
    <w:rsid w:val="008261E1"/>
    <w:rsid w:val="00827A45"/>
    <w:rsid w:val="00831DF7"/>
    <w:rsid w:val="00832C18"/>
    <w:rsid w:val="008351DE"/>
    <w:rsid w:val="0084172E"/>
    <w:rsid w:val="00842194"/>
    <w:rsid w:val="008460F7"/>
    <w:rsid w:val="0084795C"/>
    <w:rsid w:val="00847A98"/>
    <w:rsid w:val="00851CBA"/>
    <w:rsid w:val="0085511A"/>
    <w:rsid w:val="00855415"/>
    <w:rsid w:val="00856E6F"/>
    <w:rsid w:val="00864C3C"/>
    <w:rsid w:val="00864DE4"/>
    <w:rsid w:val="00867E02"/>
    <w:rsid w:val="00867FF4"/>
    <w:rsid w:val="008720CB"/>
    <w:rsid w:val="00872A61"/>
    <w:rsid w:val="008733F7"/>
    <w:rsid w:val="008738D1"/>
    <w:rsid w:val="00874265"/>
    <w:rsid w:val="008800F8"/>
    <w:rsid w:val="00881BE2"/>
    <w:rsid w:val="00885100"/>
    <w:rsid w:val="00885C56"/>
    <w:rsid w:val="00887E71"/>
    <w:rsid w:val="00892647"/>
    <w:rsid w:val="00894623"/>
    <w:rsid w:val="00894A79"/>
    <w:rsid w:val="008968AC"/>
    <w:rsid w:val="008A0215"/>
    <w:rsid w:val="008A2479"/>
    <w:rsid w:val="008A3BA0"/>
    <w:rsid w:val="008A4C6D"/>
    <w:rsid w:val="008A58A5"/>
    <w:rsid w:val="008A77B1"/>
    <w:rsid w:val="008B2381"/>
    <w:rsid w:val="008B409C"/>
    <w:rsid w:val="008B60DF"/>
    <w:rsid w:val="008B772A"/>
    <w:rsid w:val="008C0828"/>
    <w:rsid w:val="008C3384"/>
    <w:rsid w:val="008C6CD0"/>
    <w:rsid w:val="008D262B"/>
    <w:rsid w:val="008D293C"/>
    <w:rsid w:val="008D70FC"/>
    <w:rsid w:val="008E68B5"/>
    <w:rsid w:val="008F39EA"/>
    <w:rsid w:val="008F7B03"/>
    <w:rsid w:val="0090016A"/>
    <w:rsid w:val="009049D5"/>
    <w:rsid w:val="00910140"/>
    <w:rsid w:val="00912DAF"/>
    <w:rsid w:val="00913895"/>
    <w:rsid w:val="00916581"/>
    <w:rsid w:val="00921827"/>
    <w:rsid w:val="00925703"/>
    <w:rsid w:val="0093064B"/>
    <w:rsid w:val="00936DBF"/>
    <w:rsid w:val="00942417"/>
    <w:rsid w:val="00945BFB"/>
    <w:rsid w:val="009463F9"/>
    <w:rsid w:val="009504D6"/>
    <w:rsid w:val="00950FF2"/>
    <w:rsid w:val="00964774"/>
    <w:rsid w:val="00970678"/>
    <w:rsid w:val="0097386C"/>
    <w:rsid w:val="00973BF0"/>
    <w:rsid w:val="00974E67"/>
    <w:rsid w:val="00975C4D"/>
    <w:rsid w:val="0097656B"/>
    <w:rsid w:val="009767CD"/>
    <w:rsid w:val="00976ABB"/>
    <w:rsid w:val="00976B7B"/>
    <w:rsid w:val="009804C5"/>
    <w:rsid w:val="00981873"/>
    <w:rsid w:val="0098441B"/>
    <w:rsid w:val="00984874"/>
    <w:rsid w:val="00984E03"/>
    <w:rsid w:val="00992C33"/>
    <w:rsid w:val="009931F8"/>
    <w:rsid w:val="00997C4C"/>
    <w:rsid w:val="009A3FF3"/>
    <w:rsid w:val="009A4FC4"/>
    <w:rsid w:val="009A6C94"/>
    <w:rsid w:val="009A7404"/>
    <w:rsid w:val="009B0278"/>
    <w:rsid w:val="009B2555"/>
    <w:rsid w:val="009B43D2"/>
    <w:rsid w:val="009B5C34"/>
    <w:rsid w:val="009B632F"/>
    <w:rsid w:val="009B682F"/>
    <w:rsid w:val="009C04D3"/>
    <w:rsid w:val="009C386A"/>
    <w:rsid w:val="009C4A52"/>
    <w:rsid w:val="009C5A6E"/>
    <w:rsid w:val="009C6EBC"/>
    <w:rsid w:val="009C76F0"/>
    <w:rsid w:val="009D1E3C"/>
    <w:rsid w:val="009D1EFF"/>
    <w:rsid w:val="009D242B"/>
    <w:rsid w:val="009D4413"/>
    <w:rsid w:val="009D54A3"/>
    <w:rsid w:val="009D5997"/>
    <w:rsid w:val="009D6A19"/>
    <w:rsid w:val="009E36E0"/>
    <w:rsid w:val="009E4716"/>
    <w:rsid w:val="009E49DB"/>
    <w:rsid w:val="009E5111"/>
    <w:rsid w:val="009E5F95"/>
    <w:rsid w:val="009F4455"/>
    <w:rsid w:val="009F5EF3"/>
    <w:rsid w:val="009F6173"/>
    <w:rsid w:val="00A01024"/>
    <w:rsid w:val="00A038A3"/>
    <w:rsid w:val="00A04B0F"/>
    <w:rsid w:val="00A04F71"/>
    <w:rsid w:val="00A05251"/>
    <w:rsid w:val="00A07364"/>
    <w:rsid w:val="00A10B51"/>
    <w:rsid w:val="00A12E23"/>
    <w:rsid w:val="00A157C1"/>
    <w:rsid w:val="00A251BC"/>
    <w:rsid w:val="00A25A4E"/>
    <w:rsid w:val="00A311F5"/>
    <w:rsid w:val="00A31977"/>
    <w:rsid w:val="00A35D3B"/>
    <w:rsid w:val="00A3638A"/>
    <w:rsid w:val="00A37128"/>
    <w:rsid w:val="00A403B8"/>
    <w:rsid w:val="00A4216B"/>
    <w:rsid w:val="00A4449A"/>
    <w:rsid w:val="00A44B54"/>
    <w:rsid w:val="00A45ABA"/>
    <w:rsid w:val="00A4604B"/>
    <w:rsid w:val="00A47CB3"/>
    <w:rsid w:val="00A50B87"/>
    <w:rsid w:val="00A52AE9"/>
    <w:rsid w:val="00A5395D"/>
    <w:rsid w:val="00A61633"/>
    <w:rsid w:val="00A63F97"/>
    <w:rsid w:val="00A669F1"/>
    <w:rsid w:val="00A70B2C"/>
    <w:rsid w:val="00A74354"/>
    <w:rsid w:val="00A7487D"/>
    <w:rsid w:val="00A80E10"/>
    <w:rsid w:val="00A835C6"/>
    <w:rsid w:val="00A84972"/>
    <w:rsid w:val="00A90AA4"/>
    <w:rsid w:val="00A96390"/>
    <w:rsid w:val="00AA0B13"/>
    <w:rsid w:val="00AB005F"/>
    <w:rsid w:val="00AB12BF"/>
    <w:rsid w:val="00AB1652"/>
    <w:rsid w:val="00AB1811"/>
    <w:rsid w:val="00AB2BE5"/>
    <w:rsid w:val="00AB3AE3"/>
    <w:rsid w:val="00AB3F6A"/>
    <w:rsid w:val="00AB47D4"/>
    <w:rsid w:val="00AB4A80"/>
    <w:rsid w:val="00AB64B1"/>
    <w:rsid w:val="00AC1400"/>
    <w:rsid w:val="00AC2975"/>
    <w:rsid w:val="00AC3896"/>
    <w:rsid w:val="00AC6720"/>
    <w:rsid w:val="00AC6882"/>
    <w:rsid w:val="00AC69C6"/>
    <w:rsid w:val="00AC75BA"/>
    <w:rsid w:val="00AD1073"/>
    <w:rsid w:val="00AD496F"/>
    <w:rsid w:val="00AD5A08"/>
    <w:rsid w:val="00AE063D"/>
    <w:rsid w:val="00AE0671"/>
    <w:rsid w:val="00AE4DA9"/>
    <w:rsid w:val="00AE5A05"/>
    <w:rsid w:val="00AF0414"/>
    <w:rsid w:val="00AF171D"/>
    <w:rsid w:val="00AF2B73"/>
    <w:rsid w:val="00AF3DDC"/>
    <w:rsid w:val="00AF4305"/>
    <w:rsid w:val="00AF4457"/>
    <w:rsid w:val="00AF4599"/>
    <w:rsid w:val="00AF58A4"/>
    <w:rsid w:val="00AF5C8A"/>
    <w:rsid w:val="00AF6762"/>
    <w:rsid w:val="00B01E60"/>
    <w:rsid w:val="00B02064"/>
    <w:rsid w:val="00B02097"/>
    <w:rsid w:val="00B0218D"/>
    <w:rsid w:val="00B039BE"/>
    <w:rsid w:val="00B04245"/>
    <w:rsid w:val="00B0433B"/>
    <w:rsid w:val="00B05300"/>
    <w:rsid w:val="00B1271E"/>
    <w:rsid w:val="00B1298B"/>
    <w:rsid w:val="00B1557D"/>
    <w:rsid w:val="00B16B75"/>
    <w:rsid w:val="00B225A1"/>
    <w:rsid w:val="00B23E07"/>
    <w:rsid w:val="00B24045"/>
    <w:rsid w:val="00B2492D"/>
    <w:rsid w:val="00B25D52"/>
    <w:rsid w:val="00B26F74"/>
    <w:rsid w:val="00B31A3B"/>
    <w:rsid w:val="00B32343"/>
    <w:rsid w:val="00B32DB0"/>
    <w:rsid w:val="00B36029"/>
    <w:rsid w:val="00B37447"/>
    <w:rsid w:val="00B424E1"/>
    <w:rsid w:val="00B43263"/>
    <w:rsid w:val="00B436C7"/>
    <w:rsid w:val="00B47E45"/>
    <w:rsid w:val="00B51C06"/>
    <w:rsid w:val="00B553E7"/>
    <w:rsid w:val="00B56E0D"/>
    <w:rsid w:val="00B6252F"/>
    <w:rsid w:val="00B638F9"/>
    <w:rsid w:val="00B65635"/>
    <w:rsid w:val="00B666B0"/>
    <w:rsid w:val="00B720EC"/>
    <w:rsid w:val="00B72917"/>
    <w:rsid w:val="00B739B6"/>
    <w:rsid w:val="00B75A62"/>
    <w:rsid w:val="00B77348"/>
    <w:rsid w:val="00B81FEF"/>
    <w:rsid w:val="00B833B0"/>
    <w:rsid w:val="00B843EC"/>
    <w:rsid w:val="00B86620"/>
    <w:rsid w:val="00B87AA6"/>
    <w:rsid w:val="00B9044D"/>
    <w:rsid w:val="00B92F0A"/>
    <w:rsid w:val="00B95E1D"/>
    <w:rsid w:val="00BA12B1"/>
    <w:rsid w:val="00BA216A"/>
    <w:rsid w:val="00BA2958"/>
    <w:rsid w:val="00BA3224"/>
    <w:rsid w:val="00BA5783"/>
    <w:rsid w:val="00BA6B43"/>
    <w:rsid w:val="00BB2AA9"/>
    <w:rsid w:val="00BB7433"/>
    <w:rsid w:val="00BC18FC"/>
    <w:rsid w:val="00BC29EE"/>
    <w:rsid w:val="00BC2C33"/>
    <w:rsid w:val="00BC42F9"/>
    <w:rsid w:val="00BC5065"/>
    <w:rsid w:val="00BC56AF"/>
    <w:rsid w:val="00BC72E3"/>
    <w:rsid w:val="00BD183B"/>
    <w:rsid w:val="00BD2004"/>
    <w:rsid w:val="00BD236A"/>
    <w:rsid w:val="00BD37ED"/>
    <w:rsid w:val="00BD4834"/>
    <w:rsid w:val="00BD65DA"/>
    <w:rsid w:val="00BD74F6"/>
    <w:rsid w:val="00BE009B"/>
    <w:rsid w:val="00BE0710"/>
    <w:rsid w:val="00BE1E4E"/>
    <w:rsid w:val="00BE3676"/>
    <w:rsid w:val="00BE5B58"/>
    <w:rsid w:val="00BE5E47"/>
    <w:rsid w:val="00BE7B46"/>
    <w:rsid w:val="00BF0F4A"/>
    <w:rsid w:val="00BF14C7"/>
    <w:rsid w:val="00BF512E"/>
    <w:rsid w:val="00BF6569"/>
    <w:rsid w:val="00BF6D6C"/>
    <w:rsid w:val="00C01362"/>
    <w:rsid w:val="00C01C59"/>
    <w:rsid w:val="00C01E18"/>
    <w:rsid w:val="00C03B8C"/>
    <w:rsid w:val="00C04BB9"/>
    <w:rsid w:val="00C07CC8"/>
    <w:rsid w:val="00C10152"/>
    <w:rsid w:val="00C133EF"/>
    <w:rsid w:val="00C17382"/>
    <w:rsid w:val="00C17924"/>
    <w:rsid w:val="00C17FF8"/>
    <w:rsid w:val="00C20BF0"/>
    <w:rsid w:val="00C217B9"/>
    <w:rsid w:val="00C21965"/>
    <w:rsid w:val="00C21B78"/>
    <w:rsid w:val="00C23B67"/>
    <w:rsid w:val="00C23F13"/>
    <w:rsid w:val="00C26BB1"/>
    <w:rsid w:val="00C31C14"/>
    <w:rsid w:val="00C32B58"/>
    <w:rsid w:val="00C32D3A"/>
    <w:rsid w:val="00C34334"/>
    <w:rsid w:val="00C34738"/>
    <w:rsid w:val="00C34B9E"/>
    <w:rsid w:val="00C35AFC"/>
    <w:rsid w:val="00C3771C"/>
    <w:rsid w:val="00C40AA1"/>
    <w:rsid w:val="00C42497"/>
    <w:rsid w:val="00C429C3"/>
    <w:rsid w:val="00C43013"/>
    <w:rsid w:val="00C4434F"/>
    <w:rsid w:val="00C4543B"/>
    <w:rsid w:val="00C45E37"/>
    <w:rsid w:val="00C46773"/>
    <w:rsid w:val="00C5112F"/>
    <w:rsid w:val="00C5359F"/>
    <w:rsid w:val="00C61BC5"/>
    <w:rsid w:val="00C63BE2"/>
    <w:rsid w:val="00C642BE"/>
    <w:rsid w:val="00C709B2"/>
    <w:rsid w:val="00C733DA"/>
    <w:rsid w:val="00C775B6"/>
    <w:rsid w:val="00C82907"/>
    <w:rsid w:val="00C846F2"/>
    <w:rsid w:val="00C9166E"/>
    <w:rsid w:val="00C95C03"/>
    <w:rsid w:val="00C96F49"/>
    <w:rsid w:val="00CA20F7"/>
    <w:rsid w:val="00CA2A08"/>
    <w:rsid w:val="00CA35DD"/>
    <w:rsid w:val="00CA5EFC"/>
    <w:rsid w:val="00CB20E7"/>
    <w:rsid w:val="00CB26C4"/>
    <w:rsid w:val="00CC1B27"/>
    <w:rsid w:val="00CC5342"/>
    <w:rsid w:val="00CC5832"/>
    <w:rsid w:val="00CC5F41"/>
    <w:rsid w:val="00CC619B"/>
    <w:rsid w:val="00CC6E03"/>
    <w:rsid w:val="00CD0E28"/>
    <w:rsid w:val="00CD20E6"/>
    <w:rsid w:val="00CD2DA3"/>
    <w:rsid w:val="00CD3BE1"/>
    <w:rsid w:val="00CE0D3E"/>
    <w:rsid w:val="00CE204A"/>
    <w:rsid w:val="00CE3FB9"/>
    <w:rsid w:val="00CE5D8D"/>
    <w:rsid w:val="00CE7E50"/>
    <w:rsid w:val="00CF1103"/>
    <w:rsid w:val="00CF1BE3"/>
    <w:rsid w:val="00CF3ED9"/>
    <w:rsid w:val="00D02F8E"/>
    <w:rsid w:val="00D03FEA"/>
    <w:rsid w:val="00D04A95"/>
    <w:rsid w:val="00D0514F"/>
    <w:rsid w:val="00D05B91"/>
    <w:rsid w:val="00D0763A"/>
    <w:rsid w:val="00D122A8"/>
    <w:rsid w:val="00D16CD2"/>
    <w:rsid w:val="00D17E9A"/>
    <w:rsid w:val="00D20932"/>
    <w:rsid w:val="00D25397"/>
    <w:rsid w:val="00D26A69"/>
    <w:rsid w:val="00D2723D"/>
    <w:rsid w:val="00D30F36"/>
    <w:rsid w:val="00D31BB1"/>
    <w:rsid w:val="00D341A3"/>
    <w:rsid w:val="00D34CE1"/>
    <w:rsid w:val="00D41744"/>
    <w:rsid w:val="00D439A7"/>
    <w:rsid w:val="00D44275"/>
    <w:rsid w:val="00D442E2"/>
    <w:rsid w:val="00D47885"/>
    <w:rsid w:val="00D503D4"/>
    <w:rsid w:val="00D505B4"/>
    <w:rsid w:val="00D505EE"/>
    <w:rsid w:val="00D51E61"/>
    <w:rsid w:val="00D572D6"/>
    <w:rsid w:val="00D5751E"/>
    <w:rsid w:val="00D57724"/>
    <w:rsid w:val="00D60AE6"/>
    <w:rsid w:val="00D61898"/>
    <w:rsid w:val="00D70666"/>
    <w:rsid w:val="00D71A4F"/>
    <w:rsid w:val="00D71EDE"/>
    <w:rsid w:val="00D7669E"/>
    <w:rsid w:val="00D80D71"/>
    <w:rsid w:val="00D8214B"/>
    <w:rsid w:val="00D8245B"/>
    <w:rsid w:val="00D837A6"/>
    <w:rsid w:val="00D84CA7"/>
    <w:rsid w:val="00D85EB2"/>
    <w:rsid w:val="00D86999"/>
    <w:rsid w:val="00D920E2"/>
    <w:rsid w:val="00D94FA8"/>
    <w:rsid w:val="00DA04B1"/>
    <w:rsid w:val="00DA179E"/>
    <w:rsid w:val="00DA1913"/>
    <w:rsid w:val="00DA364B"/>
    <w:rsid w:val="00DA3D47"/>
    <w:rsid w:val="00DA768F"/>
    <w:rsid w:val="00DB4030"/>
    <w:rsid w:val="00DB5236"/>
    <w:rsid w:val="00DB6CFE"/>
    <w:rsid w:val="00DB7603"/>
    <w:rsid w:val="00DC0D17"/>
    <w:rsid w:val="00DC19A4"/>
    <w:rsid w:val="00DC1C2C"/>
    <w:rsid w:val="00DC5E7C"/>
    <w:rsid w:val="00DC735B"/>
    <w:rsid w:val="00DD43F2"/>
    <w:rsid w:val="00DD528E"/>
    <w:rsid w:val="00DD6B6A"/>
    <w:rsid w:val="00DD76DA"/>
    <w:rsid w:val="00DE1548"/>
    <w:rsid w:val="00DE180D"/>
    <w:rsid w:val="00DE1865"/>
    <w:rsid w:val="00DE1B8F"/>
    <w:rsid w:val="00DE650D"/>
    <w:rsid w:val="00DF0FA1"/>
    <w:rsid w:val="00DF1CEC"/>
    <w:rsid w:val="00DF21E2"/>
    <w:rsid w:val="00DF3D3E"/>
    <w:rsid w:val="00DF4F83"/>
    <w:rsid w:val="00DF50BD"/>
    <w:rsid w:val="00E005F0"/>
    <w:rsid w:val="00E00BE4"/>
    <w:rsid w:val="00E029F0"/>
    <w:rsid w:val="00E02F56"/>
    <w:rsid w:val="00E045AA"/>
    <w:rsid w:val="00E061FB"/>
    <w:rsid w:val="00E062A9"/>
    <w:rsid w:val="00E07E05"/>
    <w:rsid w:val="00E10055"/>
    <w:rsid w:val="00E112C6"/>
    <w:rsid w:val="00E11465"/>
    <w:rsid w:val="00E12E05"/>
    <w:rsid w:val="00E2119A"/>
    <w:rsid w:val="00E21BEB"/>
    <w:rsid w:val="00E23F54"/>
    <w:rsid w:val="00E25514"/>
    <w:rsid w:val="00E30B4D"/>
    <w:rsid w:val="00E31F64"/>
    <w:rsid w:val="00E34645"/>
    <w:rsid w:val="00E413A5"/>
    <w:rsid w:val="00E4311E"/>
    <w:rsid w:val="00E44AA5"/>
    <w:rsid w:val="00E46475"/>
    <w:rsid w:val="00E465EF"/>
    <w:rsid w:val="00E47C18"/>
    <w:rsid w:val="00E50389"/>
    <w:rsid w:val="00E51F80"/>
    <w:rsid w:val="00E53DE5"/>
    <w:rsid w:val="00E5714F"/>
    <w:rsid w:val="00E57333"/>
    <w:rsid w:val="00E61359"/>
    <w:rsid w:val="00E633E8"/>
    <w:rsid w:val="00E651F1"/>
    <w:rsid w:val="00E65682"/>
    <w:rsid w:val="00E764C2"/>
    <w:rsid w:val="00E83467"/>
    <w:rsid w:val="00E85B01"/>
    <w:rsid w:val="00E86167"/>
    <w:rsid w:val="00E86D45"/>
    <w:rsid w:val="00E8732C"/>
    <w:rsid w:val="00E918A0"/>
    <w:rsid w:val="00E94264"/>
    <w:rsid w:val="00E966DE"/>
    <w:rsid w:val="00E97384"/>
    <w:rsid w:val="00E97B13"/>
    <w:rsid w:val="00EA0496"/>
    <w:rsid w:val="00EB05FD"/>
    <w:rsid w:val="00EB3452"/>
    <w:rsid w:val="00EB47EC"/>
    <w:rsid w:val="00EB4A69"/>
    <w:rsid w:val="00EC1B50"/>
    <w:rsid w:val="00EC23CA"/>
    <w:rsid w:val="00EC2B4C"/>
    <w:rsid w:val="00EC46AA"/>
    <w:rsid w:val="00EC628D"/>
    <w:rsid w:val="00ED115C"/>
    <w:rsid w:val="00ED4312"/>
    <w:rsid w:val="00EE3890"/>
    <w:rsid w:val="00EE456B"/>
    <w:rsid w:val="00EF2605"/>
    <w:rsid w:val="00EF4179"/>
    <w:rsid w:val="00EF4754"/>
    <w:rsid w:val="00EF4777"/>
    <w:rsid w:val="00EF4B62"/>
    <w:rsid w:val="00EF4CA4"/>
    <w:rsid w:val="00EF7CF3"/>
    <w:rsid w:val="00F033F0"/>
    <w:rsid w:val="00F03F79"/>
    <w:rsid w:val="00F062A6"/>
    <w:rsid w:val="00F0737C"/>
    <w:rsid w:val="00F13603"/>
    <w:rsid w:val="00F13C03"/>
    <w:rsid w:val="00F16273"/>
    <w:rsid w:val="00F22D02"/>
    <w:rsid w:val="00F23A07"/>
    <w:rsid w:val="00F23EDA"/>
    <w:rsid w:val="00F251B6"/>
    <w:rsid w:val="00F2670B"/>
    <w:rsid w:val="00F27E8A"/>
    <w:rsid w:val="00F34E30"/>
    <w:rsid w:val="00F35BDF"/>
    <w:rsid w:val="00F36BAA"/>
    <w:rsid w:val="00F36CDA"/>
    <w:rsid w:val="00F37372"/>
    <w:rsid w:val="00F40ADA"/>
    <w:rsid w:val="00F415E7"/>
    <w:rsid w:val="00F4221B"/>
    <w:rsid w:val="00F45A04"/>
    <w:rsid w:val="00F47B48"/>
    <w:rsid w:val="00F51815"/>
    <w:rsid w:val="00F518AA"/>
    <w:rsid w:val="00F537D6"/>
    <w:rsid w:val="00F53929"/>
    <w:rsid w:val="00F63BAB"/>
    <w:rsid w:val="00F6653F"/>
    <w:rsid w:val="00F66CDB"/>
    <w:rsid w:val="00F727D1"/>
    <w:rsid w:val="00F73E97"/>
    <w:rsid w:val="00F74DA0"/>
    <w:rsid w:val="00F772A2"/>
    <w:rsid w:val="00F84A36"/>
    <w:rsid w:val="00F84BE5"/>
    <w:rsid w:val="00F867BE"/>
    <w:rsid w:val="00F86C5E"/>
    <w:rsid w:val="00F86E68"/>
    <w:rsid w:val="00F876DA"/>
    <w:rsid w:val="00F94F22"/>
    <w:rsid w:val="00F9780D"/>
    <w:rsid w:val="00FA1B4F"/>
    <w:rsid w:val="00FB1536"/>
    <w:rsid w:val="00FB1CA6"/>
    <w:rsid w:val="00FB1DE8"/>
    <w:rsid w:val="00FB4940"/>
    <w:rsid w:val="00FB5F17"/>
    <w:rsid w:val="00FB610E"/>
    <w:rsid w:val="00FB61D6"/>
    <w:rsid w:val="00FC0033"/>
    <w:rsid w:val="00FC5732"/>
    <w:rsid w:val="00FD5E29"/>
    <w:rsid w:val="00FD6982"/>
    <w:rsid w:val="00FE038C"/>
    <w:rsid w:val="00FE66CD"/>
    <w:rsid w:val="00FF0E22"/>
    <w:rsid w:val="00FF5BB4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B4CE4"/>
  <w15:chartTrackingRefBased/>
  <w15:docId w15:val="{742D304A-5A2E-4F09-9EC5-159D46C7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aliases w:val="标题1"/>
    <w:basedOn w:val="a"/>
    <w:next w:val="a"/>
    <w:link w:val="20"/>
    <w:qFormat/>
    <w:rsid w:val="00541111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5411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41111"/>
    <w:rPr>
      <w:sz w:val="18"/>
      <w:szCs w:val="18"/>
    </w:rPr>
  </w:style>
  <w:style w:type="character" w:customStyle="1" w:styleId="20">
    <w:name w:val="标题 2 字符"/>
    <w:aliases w:val="标题1 字符"/>
    <w:link w:val="2"/>
    <w:rsid w:val="00541111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footnote text"/>
    <w:basedOn w:val="a"/>
    <w:link w:val="a8"/>
    <w:uiPriority w:val="99"/>
    <w:semiHidden/>
    <w:unhideWhenUsed/>
    <w:rsid w:val="00541111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link w:val="a7"/>
    <w:uiPriority w:val="99"/>
    <w:semiHidden/>
    <w:rsid w:val="00541111"/>
    <w:rPr>
      <w:sz w:val="18"/>
      <w:szCs w:val="18"/>
    </w:rPr>
  </w:style>
  <w:style w:type="character" w:styleId="a9">
    <w:name w:val="footnote reference"/>
    <w:uiPriority w:val="99"/>
    <w:semiHidden/>
    <w:unhideWhenUsed/>
    <w:rsid w:val="00541111"/>
    <w:rPr>
      <w:vertAlign w:val="superscript"/>
    </w:rPr>
  </w:style>
  <w:style w:type="table" w:styleId="aa">
    <w:name w:val="Table Grid"/>
    <w:basedOn w:val="a1"/>
    <w:uiPriority w:val="39"/>
    <w:rsid w:val="00FC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900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04A95"/>
    <w:pPr>
      <w:ind w:firstLineChars="200" w:firstLine="420"/>
    </w:pPr>
  </w:style>
  <w:style w:type="character" w:styleId="ad">
    <w:name w:val="Emphasis"/>
    <w:basedOn w:val="a0"/>
    <w:uiPriority w:val="20"/>
    <w:qFormat/>
    <w:rsid w:val="00D7669E"/>
    <w:rPr>
      <w:i/>
      <w:iCs/>
    </w:rPr>
  </w:style>
  <w:style w:type="character" w:styleId="ae">
    <w:name w:val="Strong"/>
    <w:basedOn w:val="a0"/>
    <w:uiPriority w:val="22"/>
    <w:qFormat/>
    <w:rsid w:val="003C57F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37722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5377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8&#24180;\2018-12&#20840;&#24180;&#32463;&#27982;&#24418;&#21183;\&#21457;&#23637;&#27700;&#24179;%20(&#33258;&#21160;&#20445;&#23384;&#30340;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ekione\Desktop\&#20869;&#38656;\&#26368;&#32456;&#28040;&#36153;&#38271;&#26399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ekione\Downloads\&#20998;&#30465;&#23395;&#24230;&#25968;&#25454;%20(77)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ekione\Desktop\&#21452;&#25910;&#3255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ekione\Downloads\&#31038;&#38144;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903271411455706E-2"/>
          <c:y val="0.11043451349459876"/>
          <c:w val="0.89672233990285266"/>
          <c:h val="0.73623893823273423"/>
        </c:manualLayout>
      </c:layout>
      <c:areaChart>
        <c:grouping val="standard"/>
        <c:varyColors val="0"/>
        <c:ser>
          <c:idx val="0"/>
          <c:order val="0"/>
          <c:tx>
            <c:strRef>
              <c:f>城镇化率!$P$44</c:f>
              <c:strCache>
                <c:ptCount val="1"/>
                <c:pt idx="0">
                  <c:v>内需累计占全国比重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城镇化率!$O$45:$O$75</c:f>
              <c:strCache>
                <c:ptCount val="31"/>
                <c:pt idx="0">
                  <c:v>西藏</c:v>
                </c:pt>
                <c:pt idx="1">
                  <c:v>贵州</c:v>
                </c:pt>
                <c:pt idx="2">
                  <c:v>云南</c:v>
                </c:pt>
                <c:pt idx="3">
                  <c:v>甘肃</c:v>
                </c:pt>
                <c:pt idx="4">
                  <c:v>广西</c:v>
                </c:pt>
                <c:pt idx="5">
                  <c:v>新疆</c:v>
                </c:pt>
                <c:pt idx="6">
                  <c:v>河南</c:v>
                </c:pt>
                <c:pt idx="7">
                  <c:v>四川</c:v>
                </c:pt>
                <c:pt idx="8">
                  <c:v>青海</c:v>
                </c:pt>
                <c:pt idx="9">
                  <c:v>安徽</c:v>
                </c:pt>
                <c:pt idx="10">
                  <c:v>江西</c:v>
                </c:pt>
                <c:pt idx="11">
                  <c:v>湖南</c:v>
                </c:pt>
                <c:pt idx="12">
                  <c:v>河北</c:v>
                </c:pt>
                <c:pt idx="13">
                  <c:v>吉林</c:v>
                </c:pt>
                <c:pt idx="14">
                  <c:v>陕西</c:v>
                </c:pt>
                <c:pt idx="15">
                  <c:v>山西</c:v>
                </c:pt>
                <c:pt idx="16">
                  <c:v>宁夏</c:v>
                </c:pt>
                <c:pt idx="17">
                  <c:v>海南</c:v>
                </c:pt>
                <c:pt idx="18">
                  <c:v>黑龙江</c:v>
                </c:pt>
                <c:pt idx="19">
                  <c:v>湖北</c:v>
                </c:pt>
                <c:pt idx="20">
                  <c:v>山东</c:v>
                </c:pt>
                <c:pt idx="21">
                  <c:v>内蒙古</c:v>
                </c:pt>
                <c:pt idx="22">
                  <c:v>重庆</c:v>
                </c:pt>
                <c:pt idx="23">
                  <c:v>福建</c:v>
                </c:pt>
                <c:pt idx="24">
                  <c:v>辽宁</c:v>
                </c:pt>
                <c:pt idx="25">
                  <c:v>浙江</c:v>
                </c:pt>
                <c:pt idx="26">
                  <c:v>江苏</c:v>
                </c:pt>
                <c:pt idx="27">
                  <c:v>广东</c:v>
                </c:pt>
                <c:pt idx="28">
                  <c:v>天津</c:v>
                </c:pt>
                <c:pt idx="29">
                  <c:v>北京</c:v>
                </c:pt>
                <c:pt idx="30">
                  <c:v>上海</c:v>
                </c:pt>
              </c:strCache>
            </c:strRef>
          </c:cat>
          <c:val>
            <c:numRef>
              <c:f>城镇化率!$P$45:$P$75</c:f>
              <c:numCache>
                <c:formatCode>0</c:formatCode>
                <c:ptCount val="31"/>
                <c:pt idx="0">
                  <c:v>0.27254964248817581</c:v>
                </c:pt>
                <c:pt idx="1">
                  <c:v>2.1707143204565913</c:v>
                </c:pt>
                <c:pt idx="2">
                  <c:v>5.0966097625985878</c:v>
                </c:pt>
                <c:pt idx="3">
                  <c:v>6.1043884255480068</c:v>
                </c:pt>
                <c:pt idx="4">
                  <c:v>8.341038671607226</c:v>
                </c:pt>
                <c:pt idx="5">
                  <c:v>10.381182389322039</c:v>
                </c:pt>
                <c:pt idx="6">
                  <c:v>16.479640904052054</c:v>
                </c:pt>
                <c:pt idx="7">
                  <c:v>20.688084428422282</c:v>
                </c:pt>
                <c:pt idx="8">
                  <c:v>21.331102660275288</c:v>
                </c:pt>
                <c:pt idx="9">
                  <c:v>24.395373944645009</c:v>
                </c:pt>
                <c:pt idx="10">
                  <c:v>26.674625444466127</c:v>
                </c:pt>
                <c:pt idx="11">
                  <c:v>30.688844127892875</c:v>
                </c:pt>
                <c:pt idx="12">
                  <c:v>34.644240977662648</c:v>
                </c:pt>
                <c:pt idx="13">
                  <c:v>36.42051492045146</c:v>
                </c:pt>
                <c:pt idx="14">
                  <c:v>39.132209781829161</c:v>
                </c:pt>
                <c:pt idx="15">
                  <c:v>40.923235334578067</c:v>
                </c:pt>
                <c:pt idx="16">
                  <c:v>41.589622007695596</c:v>
                </c:pt>
                <c:pt idx="17">
                  <c:v>42.219702047646173</c:v>
                </c:pt>
                <c:pt idx="18">
                  <c:v>44.454960993445134</c:v>
                </c:pt>
                <c:pt idx="19">
                  <c:v>48.73527373117836</c:v>
                </c:pt>
                <c:pt idx="20">
                  <c:v>56.794738444612548</c:v>
                </c:pt>
                <c:pt idx="21">
                  <c:v>58.906646690476599</c:v>
                </c:pt>
                <c:pt idx="22">
                  <c:v>61.120939326690156</c:v>
                </c:pt>
                <c:pt idx="23">
                  <c:v>64.684763948519603</c:v>
                </c:pt>
                <c:pt idx="24">
                  <c:v>67.375599436820579</c:v>
                </c:pt>
                <c:pt idx="25">
                  <c:v>72.806108879758924</c:v>
                </c:pt>
                <c:pt idx="26">
                  <c:v>81.853399029270918</c:v>
                </c:pt>
                <c:pt idx="27">
                  <c:v>91.397366486982961</c:v>
                </c:pt>
                <c:pt idx="28">
                  <c:v>93.523866500867825</c:v>
                </c:pt>
                <c:pt idx="29">
                  <c:v>96.651865190524134</c:v>
                </c:pt>
                <c:pt idx="30">
                  <c:v>100.00000000000003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01-4F5F-BB5B-F7D2803F82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2400416"/>
        <c:axId val="2132400000"/>
      </c:areaChart>
      <c:barChart>
        <c:barDir val="col"/>
        <c:grouping val="clustered"/>
        <c:varyColors val="0"/>
        <c:ser>
          <c:idx val="1"/>
          <c:order val="1"/>
          <c:tx>
            <c:strRef>
              <c:f>城镇化率!$Q$44</c:f>
              <c:strCache>
                <c:ptCount val="1"/>
                <c:pt idx="0">
                  <c:v>城镇化率</c:v>
                </c:pt>
              </c:strCache>
            </c:strRef>
          </c:tx>
          <c:spPr>
            <a:pattFill prst="pct5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城镇化率!$O$45:$O$75</c:f>
              <c:strCache>
                <c:ptCount val="31"/>
                <c:pt idx="0">
                  <c:v>西藏</c:v>
                </c:pt>
                <c:pt idx="1">
                  <c:v>贵州</c:v>
                </c:pt>
                <c:pt idx="2">
                  <c:v>云南</c:v>
                </c:pt>
                <c:pt idx="3">
                  <c:v>甘肃</c:v>
                </c:pt>
                <c:pt idx="4">
                  <c:v>广西</c:v>
                </c:pt>
                <c:pt idx="5">
                  <c:v>新疆</c:v>
                </c:pt>
                <c:pt idx="6">
                  <c:v>河南</c:v>
                </c:pt>
                <c:pt idx="7">
                  <c:v>四川</c:v>
                </c:pt>
                <c:pt idx="8">
                  <c:v>青海</c:v>
                </c:pt>
                <c:pt idx="9">
                  <c:v>安徽</c:v>
                </c:pt>
                <c:pt idx="10">
                  <c:v>江西</c:v>
                </c:pt>
                <c:pt idx="11">
                  <c:v>湖南</c:v>
                </c:pt>
                <c:pt idx="12">
                  <c:v>河北</c:v>
                </c:pt>
                <c:pt idx="13">
                  <c:v>吉林</c:v>
                </c:pt>
                <c:pt idx="14">
                  <c:v>陕西</c:v>
                </c:pt>
                <c:pt idx="15">
                  <c:v>山西</c:v>
                </c:pt>
                <c:pt idx="16">
                  <c:v>宁夏</c:v>
                </c:pt>
                <c:pt idx="17">
                  <c:v>海南</c:v>
                </c:pt>
                <c:pt idx="18">
                  <c:v>黑龙江</c:v>
                </c:pt>
                <c:pt idx="19">
                  <c:v>湖北</c:v>
                </c:pt>
                <c:pt idx="20">
                  <c:v>山东</c:v>
                </c:pt>
                <c:pt idx="21">
                  <c:v>内蒙古</c:v>
                </c:pt>
                <c:pt idx="22">
                  <c:v>重庆</c:v>
                </c:pt>
                <c:pt idx="23">
                  <c:v>福建</c:v>
                </c:pt>
                <c:pt idx="24">
                  <c:v>辽宁</c:v>
                </c:pt>
                <c:pt idx="25">
                  <c:v>浙江</c:v>
                </c:pt>
                <c:pt idx="26">
                  <c:v>江苏</c:v>
                </c:pt>
                <c:pt idx="27">
                  <c:v>广东</c:v>
                </c:pt>
                <c:pt idx="28">
                  <c:v>天津</c:v>
                </c:pt>
                <c:pt idx="29">
                  <c:v>北京</c:v>
                </c:pt>
                <c:pt idx="30">
                  <c:v>上海</c:v>
                </c:pt>
              </c:strCache>
            </c:strRef>
          </c:cat>
          <c:val>
            <c:numRef>
              <c:f>城镇化率!$Q$45:$Q$75</c:f>
              <c:numCache>
                <c:formatCode>0</c:formatCode>
                <c:ptCount val="31"/>
                <c:pt idx="0">
                  <c:v>31</c:v>
                </c:pt>
                <c:pt idx="1">
                  <c:v>47.52</c:v>
                </c:pt>
                <c:pt idx="2">
                  <c:v>47.69</c:v>
                </c:pt>
                <c:pt idx="3">
                  <c:v>47.69</c:v>
                </c:pt>
                <c:pt idx="4">
                  <c:v>50.22</c:v>
                </c:pt>
                <c:pt idx="5">
                  <c:v>50.91</c:v>
                </c:pt>
                <c:pt idx="6">
                  <c:v>51.71</c:v>
                </c:pt>
                <c:pt idx="7">
                  <c:v>52.29</c:v>
                </c:pt>
                <c:pt idx="8">
                  <c:v>54.47</c:v>
                </c:pt>
                <c:pt idx="9">
                  <c:v>54.69</c:v>
                </c:pt>
                <c:pt idx="10">
                  <c:v>56</c:v>
                </c:pt>
                <c:pt idx="11">
                  <c:v>56.02</c:v>
                </c:pt>
                <c:pt idx="12">
                  <c:v>56.43</c:v>
                </c:pt>
                <c:pt idx="13">
                  <c:v>56.98</c:v>
                </c:pt>
                <c:pt idx="14">
                  <c:v>58.13</c:v>
                </c:pt>
                <c:pt idx="15">
                  <c:v>58.41</c:v>
                </c:pt>
                <c:pt idx="16">
                  <c:v>58.88</c:v>
                </c:pt>
                <c:pt idx="17">
                  <c:v>59.06</c:v>
                </c:pt>
                <c:pt idx="18">
                  <c:v>60.1</c:v>
                </c:pt>
                <c:pt idx="19">
                  <c:v>60.3</c:v>
                </c:pt>
                <c:pt idx="20">
                  <c:v>61.18</c:v>
                </c:pt>
                <c:pt idx="21">
                  <c:v>62.7</c:v>
                </c:pt>
                <c:pt idx="22">
                  <c:v>65.5</c:v>
                </c:pt>
                <c:pt idx="23">
                  <c:v>65.8</c:v>
                </c:pt>
                <c:pt idx="24">
                  <c:v>68.099999999999994</c:v>
                </c:pt>
                <c:pt idx="25">
                  <c:v>68.900000000000006</c:v>
                </c:pt>
                <c:pt idx="26">
                  <c:v>69.61</c:v>
                </c:pt>
                <c:pt idx="27">
                  <c:v>70.7</c:v>
                </c:pt>
                <c:pt idx="28">
                  <c:v>83.15</c:v>
                </c:pt>
                <c:pt idx="29">
                  <c:v>86.5</c:v>
                </c:pt>
                <c:pt idx="30">
                  <c:v>88.1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01-4F5F-BB5B-F7D2803F82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52841344"/>
        <c:axId val="852844256"/>
      </c:barChart>
      <c:catAx>
        <c:axId val="85284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eaVert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52844256"/>
        <c:crosses val="autoZero"/>
        <c:auto val="1"/>
        <c:lblAlgn val="ctr"/>
        <c:lblOffset val="100"/>
        <c:noMultiLvlLbl val="0"/>
      </c:catAx>
      <c:valAx>
        <c:axId val="852844256"/>
        <c:scaling>
          <c:orientation val="minMax"/>
          <c:max val="100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1.209755930278858E-2"/>
              <c:y val="1.807900252055958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52841344"/>
        <c:crosses val="autoZero"/>
        <c:crossBetween val="between"/>
      </c:valAx>
      <c:valAx>
        <c:axId val="2132400000"/>
        <c:scaling>
          <c:orientation val="minMax"/>
          <c:max val="100"/>
        </c:scaling>
        <c:delete val="1"/>
        <c:axPos val="r"/>
        <c:numFmt formatCode="0" sourceLinked="1"/>
        <c:majorTickMark val="out"/>
        <c:minorTickMark val="none"/>
        <c:tickLblPos val="nextTo"/>
        <c:crossAx val="2132400416"/>
        <c:crosses val="max"/>
        <c:crossBetween val="between"/>
      </c:valAx>
      <c:catAx>
        <c:axId val="21324004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324000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12554680664924E-2"/>
          <c:y val="0.10648148148148148"/>
          <c:w val="0.88663188976377949"/>
          <c:h val="0.7114814814814816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中西部资本!$B$39:$W$39</c:f>
              <c:strCache>
                <c:ptCount val="22"/>
                <c:pt idx="0">
                  <c:v>2017年</c:v>
                </c:pt>
                <c:pt idx="1">
                  <c:v>2016年</c:v>
                </c:pt>
                <c:pt idx="2">
                  <c:v>2015年</c:v>
                </c:pt>
                <c:pt idx="3">
                  <c:v>2014年</c:v>
                </c:pt>
                <c:pt idx="4">
                  <c:v>2013年</c:v>
                </c:pt>
                <c:pt idx="5">
                  <c:v>2012年</c:v>
                </c:pt>
                <c:pt idx="6">
                  <c:v>2011年</c:v>
                </c:pt>
                <c:pt idx="7">
                  <c:v>2010年</c:v>
                </c:pt>
                <c:pt idx="8">
                  <c:v>2009年</c:v>
                </c:pt>
                <c:pt idx="9">
                  <c:v>2008年</c:v>
                </c:pt>
                <c:pt idx="10">
                  <c:v>2007年</c:v>
                </c:pt>
                <c:pt idx="11">
                  <c:v>2006年</c:v>
                </c:pt>
                <c:pt idx="12">
                  <c:v>2005年</c:v>
                </c:pt>
                <c:pt idx="13">
                  <c:v>2004年</c:v>
                </c:pt>
                <c:pt idx="14">
                  <c:v>2003年</c:v>
                </c:pt>
                <c:pt idx="15">
                  <c:v>2002年</c:v>
                </c:pt>
                <c:pt idx="16">
                  <c:v>2001年</c:v>
                </c:pt>
                <c:pt idx="17">
                  <c:v>2000年</c:v>
                </c:pt>
                <c:pt idx="18">
                  <c:v>1999年</c:v>
                </c:pt>
                <c:pt idx="19">
                  <c:v>1998年</c:v>
                </c:pt>
                <c:pt idx="20">
                  <c:v>1997年</c:v>
                </c:pt>
                <c:pt idx="21">
                  <c:v>1996年</c:v>
                </c:pt>
              </c:strCache>
            </c:strRef>
          </c:cat>
          <c:val>
            <c:numRef>
              <c:f>中西部资本!$B$40:$W$40</c:f>
              <c:numCache>
                <c:formatCode>###,###,###,##0.0</c:formatCode>
                <c:ptCount val="22"/>
                <c:pt idx="0">
                  <c:v>46.833214911888234</c:v>
                </c:pt>
                <c:pt idx="1">
                  <c:v>47.815125668618151</c:v>
                </c:pt>
                <c:pt idx="2">
                  <c:v>47.415031411922463</c:v>
                </c:pt>
                <c:pt idx="3">
                  <c:v>46.42267409467069</c:v>
                </c:pt>
                <c:pt idx="4">
                  <c:v>45.996449044680702</c:v>
                </c:pt>
                <c:pt idx="5">
                  <c:v>45.586950839572289</c:v>
                </c:pt>
                <c:pt idx="6">
                  <c:v>44.244848879739337</c:v>
                </c:pt>
                <c:pt idx="7">
                  <c:v>43.166861575949667</c:v>
                </c:pt>
                <c:pt idx="8">
                  <c:v>42.095745329819792</c:v>
                </c:pt>
                <c:pt idx="9">
                  <c:v>40.866759244444168</c:v>
                </c:pt>
                <c:pt idx="10">
                  <c:v>39.227757569449317</c:v>
                </c:pt>
                <c:pt idx="11">
                  <c:v>38.013108490538485</c:v>
                </c:pt>
                <c:pt idx="12">
                  <c:v>37.11862903398702</c:v>
                </c:pt>
                <c:pt idx="13">
                  <c:v>36.572352670058841</c:v>
                </c:pt>
                <c:pt idx="14">
                  <c:v>36.075930855425995</c:v>
                </c:pt>
                <c:pt idx="15">
                  <c:v>36.472803912074085</c:v>
                </c:pt>
                <c:pt idx="16">
                  <c:v>36.229817869202968</c:v>
                </c:pt>
                <c:pt idx="17">
                  <c:v>35.739521429191221</c:v>
                </c:pt>
                <c:pt idx="18">
                  <c:v>36.310250308807547</c:v>
                </c:pt>
                <c:pt idx="19">
                  <c:v>36.774737304933119</c:v>
                </c:pt>
                <c:pt idx="20">
                  <c:v>36.262346010834762</c:v>
                </c:pt>
                <c:pt idx="21">
                  <c:v>35.186254889550838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9B-44CA-9C65-1849B436E3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9785424"/>
        <c:axId val="1659781680"/>
      </c:lineChart>
      <c:catAx>
        <c:axId val="1659785424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59781680"/>
        <c:crosses val="autoZero"/>
        <c:auto val="1"/>
        <c:lblAlgn val="ctr"/>
        <c:lblOffset val="100"/>
        <c:noMultiLvlLbl val="0"/>
      </c:catAx>
      <c:valAx>
        <c:axId val="1659781680"/>
        <c:scaling>
          <c:orientation val="minMax"/>
          <c:min val="30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2.7777777777777776E-2"/>
              <c:y val="2.615558471857684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59785424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1013648293963255"/>
          <c:y val="0.16708333333333336"/>
          <c:w val="0.85930796150481192"/>
          <c:h val="0.703526538349372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'[分省季度数据 (77).xls]分省季度数据 (2)'!$B$4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'[分省季度数据 (77).xls]分省季度数据 (2)'!$A$5:$A$13</c:f>
              <c:strCache>
                <c:ptCount val="9"/>
                <c:pt idx="0">
                  <c:v>北京</c:v>
                </c:pt>
                <c:pt idx="1">
                  <c:v>天津</c:v>
                </c:pt>
                <c:pt idx="2">
                  <c:v>河北</c:v>
                </c:pt>
                <c:pt idx="3">
                  <c:v>上海</c:v>
                </c:pt>
                <c:pt idx="4">
                  <c:v>江苏</c:v>
                </c:pt>
                <c:pt idx="5">
                  <c:v>浙江</c:v>
                </c:pt>
                <c:pt idx="6">
                  <c:v>安徽</c:v>
                </c:pt>
                <c:pt idx="7">
                  <c:v>广东</c:v>
                </c:pt>
                <c:pt idx="8">
                  <c:v>全国</c:v>
                </c:pt>
              </c:strCache>
            </c:strRef>
          </c:cat>
          <c:val>
            <c:numRef>
              <c:f>'[分省季度数据 (77).xls]分省季度数据 (2)'!$B$5:$B$13</c:f>
              <c:numCache>
                <c:formatCode>General</c:formatCode>
                <c:ptCount val="9"/>
                <c:pt idx="0">
                  <c:v>57230</c:v>
                </c:pt>
                <c:pt idx="1">
                  <c:v>37022</c:v>
                </c:pt>
                <c:pt idx="2">
                  <c:v>21484</c:v>
                </c:pt>
                <c:pt idx="3">
                  <c:v>58988</c:v>
                </c:pt>
                <c:pt idx="4">
                  <c:v>35024</c:v>
                </c:pt>
                <c:pt idx="5">
                  <c:v>42046</c:v>
                </c:pt>
                <c:pt idx="6">
                  <c:v>21863</c:v>
                </c:pt>
                <c:pt idx="7">
                  <c:v>33003</c:v>
                </c:pt>
                <c:pt idx="8">
                  <c:v>19853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BB-484F-A3BB-970EBFBA64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8182623"/>
        <c:axId val="1938189279"/>
      </c:barChart>
      <c:catAx>
        <c:axId val="1938182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38189279"/>
        <c:crosses val="autoZero"/>
        <c:auto val="1"/>
        <c:lblAlgn val="ctr"/>
        <c:lblOffset val="100"/>
        <c:noMultiLvlLbl val="0"/>
      </c:catAx>
      <c:valAx>
        <c:axId val="1938189279"/>
        <c:scaling>
          <c:orientation val="minMax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元</a:t>
                </a:r>
              </a:p>
            </c:rich>
          </c:tx>
          <c:layout>
            <c:manualLayout>
              <c:xMode val="edge"/>
              <c:yMode val="edge"/>
              <c:x val="3.6111111111111108E-2"/>
              <c:y val="4.998067949839601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381826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65570945771222"/>
          <c:y val="0.15920001450589838"/>
          <c:w val="0.85685870114804308"/>
          <c:h val="0.726137519617192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'万得 (2)'!$J$112</c:f>
              <c:strCache>
                <c:ptCount val="1"/>
                <c:pt idx="0">
                  <c:v>2012年</c:v>
                </c:pt>
              </c:strCache>
            </c:strRef>
          </c:tx>
          <c:spPr>
            <a:pattFill prst="pct1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25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3DA-425C-9BF2-1AFC0004834B}"/>
              </c:ext>
            </c:extLst>
          </c:dPt>
          <c:dPt>
            <c:idx val="1"/>
            <c:invertIfNegative val="0"/>
            <c:bubble3D val="0"/>
            <c:spPr>
              <a:pattFill prst="pct25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3DA-425C-9BF2-1AFC000483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'万得 (2)'!$I$113:$I$114</c:f>
              <c:strCache>
                <c:ptCount val="2"/>
                <c:pt idx="0">
                  <c:v>105个“双收缩”城市</c:v>
                </c:pt>
                <c:pt idx="1">
                  <c:v>其他城市</c:v>
                </c:pt>
              </c:strCache>
            </c:strRef>
          </c:cat>
          <c:val>
            <c:numRef>
              <c:f>'万得 (2)'!$J$113:$J$114</c:f>
              <c:numCache>
                <c:formatCode>0</c:formatCode>
                <c:ptCount val="2"/>
                <c:pt idx="0">
                  <c:v>7220.1077811462383</c:v>
                </c:pt>
                <c:pt idx="1">
                  <c:v>6744.1546903296594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3DA-425C-9BF2-1AFC0004834B}"/>
            </c:ext>
          </c:extLst>
        </c:ser>
        <c:ser>
          <c:idx val="1"/>
          <c:order val="1"/>
          <c:tx>
            <c:strRef>
              <c:f>'万得 (2)'!$K$112</c:f>
              <c:strCache>
                <c:ptCount val="1"/>
                <c:pt idx="0">
                  <c:v>2017年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'万得 (2)'!$I$113:$I$114</c:f>
              <c:strCache>
                <c:ptCount val="2"/>
                <c:pt idx="0">
                  <c:v>105个“双收缩”城市</c:v>
                </c:pt>
                <c:pt idx="1">
                  <c:v>其他城市</c:v>
                </c:pt>
              </c:strCache>
            </c:strRef>
          </c:cat>
          <c:val>
            <c:numRef>
              <c:f>'万得 (2)'!$K$113:$K$114</c:f>
              <c:numCache>
                <c:formatCode>0</c:formatCode>
                <c:ptCount val="2"/>
                <c:pt idx="0">
                  <c:v>7915.4102440299366</c:v>
                </c:pt>
                <c:pt idx="1">
                  <c:v>9460.1857200112991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3DA-425C-9BF2-1AFC0004834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25667391"/>
        <c:axId val="1325668223"/>
      </c:barChart>
      <c:catAx>
        <c:axId val="1325667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25668223"/>
        <c:crosses val="autoZero"/>
        <c:auto val="1"/>
        <c:lblAlgn val="ctr"/>
        <c:lblOffset val="100"/>
        <c:noMultiLvlLbl val="0"/>
      </c:catAx>
      <c:valAx>
        <c:axId val="1325668223"/>
        <c:scaling>
          <c:orientation val="minMax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900"/>
                  <a:t>美元</a:t>
                </a:r>
              </a:p>
            </c:rich>
          </c:tx>
          <c:layout>
            <c:manualLayout>
              <c:xMode val="edge"/>
              <c:yMode val="edge"/>
              <c:x val="2.4942754958927379E-2"/>
              <c:y val="2.880901023516947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25667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5699912510936E-2"/>
          <c:y val="0.13556102362204725"/>
          <c:w val="0.89218744531933503"/>
          <c:h val="0.755434164479440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'[社销.xls]分省年度数据 (2)'!$A$50</c:f>
              <c:strCache>
                <c:ptCount val="1"/>
                <c:pt idx="0">
                  <c:v>2016年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'[社销.xls]分省年度数据 (2)'!$B$49:$J$49</c:f>
              <c:strCache>
                <c:ptCount val="9"/>
                <c:pt idx="0">
                  <c:v>北京</c:v>
                </c:pt>
                <c:pt idx="1">
                  <c:v>天津</c:v>
                </c:pt>
                <c:pt idx="2">
                  <c:v>上海</c:v>
                </c:pt>
                <c:pt idx="3">
                  <c:v>江苏</c:v>
                </c:pt>
                <c:pt idx="4">
                  <c:v>浙江</c:v>
                </c:pt>
                <c:pt idx="5">
                  <c:v>福建</c:v>
                </c:pt>
                <c:pt idx="6">
                  <c:v>山东</c:v>
                </c:pt>
                <c:pt idx="7">
                  <c:v>广东</c:v>
                </c:pt>
                <c:pt idx="8">
                  <c:v>全国</c:v>
                </c:pt>
              </c:strCache>
            </c:strRef>
          </c:cat>
          <c:val>
            <c:numRef>
              <c:f>'[社销.xls]分省年度数据 (2)'!$B$50:$J$50</c:f>
              <c:numCache>
                <c:formatCode>0.0</c:formatCode>
                <c:ptCount val="9"/>
                <c:pt idx="0">
                  <c:v>6.4528922422131929</c:v>
                </c:pt>
                <c:pt idx="1">
                  <c:v>7.1995130580335909</c:v>
                </c:pt>
                <c:pt idx="2">
                  <c:v>8.0452055470562112</c:v>
                </c:pt>
                <c:pt idx="3">
                  <c:v>10.937596611636668</c:v>
                </c:pt>
                <c:pt idx="4">
                  <c:v>11.049447300186511</c:v>
                </c:pt>
                <c:pt idx="5">
                  <c:v>11.123273589126104</c:v>
                </c:pt>
                <c:pt idx="6">
                  <c:v>10.389965923908729</c:v>
                </c:pt>
                <c:pt idx="7">
                  <c:v>10.221273193390367</c:v>
                </c:pt>
                <c:pt idx="8">
                  <c:v>10.4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EF-4C91-AB03-11A2F668ED20}"/>
            </c:ext>
          </c:extLst>
        </c:ser>
        <c:ser>
          <c:idx val="1"/>
          <c:order val="1"/>
          <c:tx>
            <c:strRef>
              <c:f>'[社销.xls]分省年度数据 (2)'!$A$51</c:f>
              <c:strCache>
                <c:ptCount val="1"/>
                <c:pt idx="0">
                  <c:v>2017年</c:v>
                </c:pt>
              </c:strCache>
            </c:strRef>
          </c:tx>
          <c:spPr>
            <a:pattFill prst="pct5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'[社销.xls]分省年度数据 (2)'!$B$49:$J$49</c:f>
              <c:strCache>
                <c:ptCount val="9"/>
                <c:pt idx="0">
                  <c:v>北京</c:v>
                </c:pt>
                <c:pt idx="1">
                  <c:v>天津</c:v>
                </c:pt>
                <c:pt idx="2">
                  <c:v>上海</c:v>
                </c:pt>
                <c:pt idx="3">
                  <c:v>江苏</c:v>
                </c:pt>
                <c:pt idx="4">
                  <c:v>浙江</c:v>
                </c:pt>
                <c:pt idx="5">
                  <c:v>福建</c:v>
                </c:pt>
                <c:pt idx="6">
                  <c:v>山东</c:v>
                </c:pt>
                <c:pt idx="7">
                  <c:v>广东</c:v>
                </c:pt>
                <c:pt idx="8">
                  <c:v>全国</c:v>
                </c:pt>
              </c:strCache>
            </c:strRef>
          </c:cat>
          <c:val>
            <c:numRef>
              <c:f>'[社销.xls]分省年度数据 (2)'!$B$51:$J$51</c:f>
              <c:numCache>
                <c:formatCode>0.0</c:formatCode>
                <c:ptCount val="9"/>
                <c:pt idx="0">
                  <c:v>5.1821428246903611</c:v>
                </c:pt>
                <c:pt idx="1">
                  <c:v>1.6661343553710184</c:v>
                </c:pt>
                <c:pt idx="2">
                  <c:v>8.0728262656897911</c:v>
                </c:pt>
                <c:pt idx="3">
                  <c:v>10.555925189238913</c:v>
                </c:pt>
                <c:pt idx="4">
                  <c:v>10.640031314289878</c:v>
                </c:pt>
                <c:pt idx="5">
                  <c:v>11.465159107456424</c:v>
                </c:pt>
                <c:pt idx="6">
                  <c:v>9.7997115428541726</c:v>
                </c:pt>
                <c:pt idx="7">
                  <c:v>9.962837264062685</c:v>
                </c:pt>
                <c:pt idx="8" formatCode="General">
                  <c:v>10.199999999999999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EF-4C91-AB03-11A2F668ED20}"/>
            </c:ext>
          </c:extLst>
        </c:ser>
        <c:ser>
          <c:idx val="2"/>
          <c:order val="2"/>
          <c:tx>
            <c:strRef>
              <c:f>'[社销.xls]分省年度数据 (2)'!$A$52</c:f>
              <c:strCache>
                <c:ptCount val="1"/>
                <c:pt idx="0">
                  <c:v>2018年</c:v>
                </c:pt>
              </c:strCache>
            </c:strRef>
          </c:tx>
          <c:spPr>
            <a:pattFill prst="pct1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'[社销.xls]分省年度数据 (2)'!$B$49:$J$49</c:f>
              <c:strCache>
                <c:ptCount val="9"/>
                <c:pt idx="0">
                  <c:v>北京</c:v>
                </c:pt>
                <c:pt idx="1">
                  <c:v>天津</c:v>
                </c:pt>
                <c:pt idx="2">
                  <c:v>上海</c:v>
                </c:pt>
                <c:pt idx="3">
                  <c:v>江苏</c:v>
                </c:pt>
                <c:pt idx="4">
                  <c:v>浙江</c:v>
                </c:pt>
                <c:pt idx="5">
                  <c:v>福建</c:v>
                </c:pt>
                <c:pt idx="6">
                  <c:v>山东</c:v>
                </c:pt>
                <c:pt idx="7">
                  <c:v>广东</c:v>
                </c:pt>
                <c:pt idx="8">
                  <c:v>全国</c:v>
                </c:pt>
              </c:strCache>
            </c:strRef>
          </c:cat>
          <c:val>
            <c:numRef>
              <c:f>'[社销.xls]分省年度数据 (2)'!$B$52:$J$52</c:f>
              <c:numCache>
                <c:formatCode>General</c:formatCode>
                <c:ptCount val="9"/>
                <c:pt idx="0">
                  <c:v>2.7</c:v>
                </c:pt>
                <c:pt idx="1">
                  <c:v>1.7</c:v>
                </c:pt>
                <c:pt idx="2">
                  <c:v>7.9</c:v>
                </c:pt>
                <c:pt idx="3">
                  <c:v>7.9</c:v>
                </c:pt>
                <c:pt idx="4">
                  <c:v>9</c:v>
                </c:pt>
                <c:pt idx="5">
                  <c:v>10.8</c:v>
                </c:pt>
                <c:pt idx="6">
                  <c:v>8.8000000000000007</c:v>
                </c:pt>
                <c:pt idx="7">
                  <c:v>8.8000000000000007</c:v>
                </c:pt>
                <c:pt idx="8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EF-4C91-AB03-11A2F668ED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759615"/>
        <c:axId val="1492763359"/>
      </c:barChart>
      <c:catAx>
        <c:axId val="1492759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92763359"/>
        <c:crosses val="autoZero"/>
        <c:auto val="1"/>
        <c:lblAlgn val="ctr"/>
        <c:lblOffset val="100"/>
        <c:noMultiLvlLbl val="0"/>
      </c:catAx>
      <c:valAx>
        <c:axId val="1492763359"/>
        <c:scaling>
          <c:orientation val="minMax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1.9444444444444445E-2"/>
              <c:y val="3.283829104695245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927596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0.2651</cdr:x>
      <cdr:y>0.0816</cdr:y>
    </cdr:from>
    <cdr:to>
      <cdr:x>0.2651</cdr:x>
      <cdr:y>0.81771</cdr:y>
    </cdr:to>
    <cdr:cxnSp macro="">
      <cdr:nvCxnSpPr>
        <cdr:cNvPr id="3" name="直接连接符 2"/>
        <cdr:cNvCxnSpPr/>
      </cdr:nvCxnSpPr>
      <cdr:spPr>
        <a:xfrm xmlns:a="http://schemas.openxmlformats.org/drawingml/2006/main">
          <a:off x="1212057" y="223839"/>
          <a:ext cx="0" cy="2019300"/>
        </a:xfrm>
        <a:prstGeom xmlns:a="http://schemas.openxmlformats.org/drawingml/2006/main" prst="line">
          <a:avLst/>
        </a:prstGeom>
        <a:ln xmlns:a="http://schemas.openxmlformats.org/drawingml/2006/main" w="15875"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0.4658</cdr:x>
      <cdr:y>0.07465</cdr:y>
    </cdr:from>
    <cdr:to>
      <cdr:x>0.4658</cdr:x>
      <cdr:y>0.80845</cdr:y>
    </cdr:to>
    <cdr:cxnSp macro="">
      <cdr:nvCxnSpPr>
        <cdr:cNvPr id="4" name="直接连接符 3"/>
        <cdr:cNvCxnSpPr/>
      </cdr:nvCxnSpPr>
      <cdr:spPr>
        <a:xfrm xmlns:a="http://schemas.openxmlformats.org/drawingml/2006/main">
          <a:off x="2129632" y="204789"/>
          <a:ext cx="0" cy="2012950"/>
        </a:xfrm>
        <a:prstGeom xmlns:a="http://schemas.openxmlformats.org/drawingml/2006/main" prst="line">
          <a:avLst/>
        </a:prstGeom>
        <a:ln xmlns:a="http://schemas.openxmlformats.org/drawingml/2006/main" w="15875"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0.66858</cdr:x>
      <cdr:y>0.06771</cdr:y>
    </cdr:from>
    <cdr:to>
      <cdr:x>0.66858</cdr:x>
      <cdr:y>0.81308</cdr:y>
    </cdr:to>
    <cdr:cxnSp macro="">
      <cdr:nvCxnSpPr>
        <cdr:cNvPr id="5" name="直接连接符 4"/>
        <cdr:cNvCxnSpPr/>
      </cdr:nvCxnSpPr>
      <cdr:spPr>
        <a:xfrm xmlns:a="http://schemas.openxmlformats.org/drawingml/2006/main">
          <a:off x="3056732" y="185739"/>
          <a:ext cx="0" cy="2044700"/>
        </a:xfrm>
        <a:prstGeom xmlns:a="http://schemas.openxmlformats.org/drawingml/2006/main" prst="line">
          <a:avLst/>
        </a:prstGeom>
        <a:ln xmlns:a="http://schemas.openxmlformats.org/drawingml/2006/main" w="15875"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0.86927</cdr:x>
      <cdr:y>0.05729</cdr:y>
    </cdr:from>
    <cdr:to>
      <cdr:x>0.86927</cdr:x>
      <cdr:y>0.7934</cdr:y>
    </cdr:to>
    <cdr:cxnSp macro="">
      <cdr:nvCxnSpPr>
        <cdr:cNvPr id="6" name="直接连接符 5"/>
        <cdr:cNvCxnSpPr/>
      </cdr:nvCxnSpPr>
      <cdr:spPr>
        <a:xfrm xmlns:a="http://schemas.openxmlformats.org/drawingml/2006/main">
          <a:off x="3974307" y="157164"/>
          <a:ext cx="0" cy="2019300"/>
        </a:xfrm>
        <a:prstGeom xmlns:a="http://schemas.openxmlformats.org/drawingml/2006/main" prst="line">
          <a:avLst/>
        </a:prstGeom>
        <a:ln xmlns:a="http://schemas.openxmlformats.org/drawingml/2006/main" w="15875"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A9E36-3791-48AC-A8EB-68893FFD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pekione</dc:creator>
  <cp:keywords/>
  <dc:description/>
  <cp:lastModifiedBy>pekione</cp:lastModifiedBy>
  <cp:revision>7</cp:revision>
  <cp:lastPrinted>2019-04-10T14:34:00Z</cp:lastPrinted>
  <dcterms:created xsi:type="dcterms:W3CDTF">2019-04-10T03:44:00Z</dcterms:created>
  <dcterms:modified xsi:type="dcterms:W3CDTF">2019-04-10T14:40:00Z</dcterms:modified>
</cp:coreProperties>
</file>